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Kim Theodore 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315" w:lineRule="auto"/>
        <w:rPr>
          <w:sz w:val="20"/>
          <w:szCs w:val="20"/>
          <w:color w:val="auto"/>
        </w:rPr>
      </w:pPr>
      <w:r>
        <w:rPr>
          <w:rFonts w:ascii="Arial" w:cs="Arial" w:eastAsia="Arial" w:hAnsi="Arial"/>
          <w:sz w:val="17"/>
          <w:szCs w:val="17"/>
          <w:color w:val="0000FF"/>
        </w:rPr>
        <w:t>C/O MAGNACHIP SEMICONDUCTOR, LTD. 501, TEHERAN-RO, GANGNAM-GU</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ind w:left="9"/>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MAGNACHIP SEMICONDUCTOR Corp</w:t>
        </w:r>
      </w:hyperlink>
    </w:p>
    <w:p>
      <w:pPr>
        <w:spacing w:after="0" w:line="10" w:lineRule="exact"/>
        <w:rPr>
          <w:sz w:val="24"/>
          <w:szCs w:val="24"/>
          <w:color w:val="auto"/>
        </w:rPr>
      </w:pPr>
    </w:p>
    <w:p>
      <w:pPr>
        <w:ind w:left="129" w:hanging="129"/>
        <w:spacing w:after="0"/>
        <w:tabs>
          <w:tab w:leader="none" w:pos="129" w:val="left"/>
        </w:tabs>
        <w:numPr>
          <w:ilvl w:val="0"/>
          <w:numId w:val="1"/>
        </w:numPr>
        <w:rPr>
          <w:rFonts w:ascii="Arial" w:cs="Arial" w:eastAsia="Arial" w:hAnsi="Arial"/>
          <w:sz w:val="21"/>
          <w:szCs w:val="21"/>
          <w:color w:val="auto"/>
        </w:rPr>
      </w:pPr>
      <w:r>
        <w:rPr>
          <w:rFonts w:ascii="Arial" w:cs="Arial" w:eastAsia="Arial" w:hAnsi="Arial"/>
          <w:sz w:val="17"/>
          <w:szCs w:val="17"/>
          <w:color w:val="0000FF"/>
        </w:rPr>
        <w:t xml:space="preserve">MX </w:t>
      </w:r>
      <w:r>
        <w:rPr>
          <w:rFonts w:ascii="Arial" w:cs="Arial" w:eastAsia="Arial" w:hAnsi="Arial"/>
          <w:sz w:val="21"/>
          <w:szCs w:val="21"/>
          <w:color w:val="000000"/>
        </w:rPr>
        <w:t>]</w:t>
      </w:r>
    </w:p>
    <w:p>
      <w:pPr>
        <w:spacing w:after="0" w:line="281"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ind w:left="9"/>
        <w:spacing w:after="0"/>
        <w:rPr>
          <w:sz w:val="20"/>
          <w:szCs w:val="20"/>
          <w:color w:val="auto"/>
        </w:rPr>
      </w:pPr>
      <w:r>
        <w:rPr>
          <w:rFonts w:ascii="Arial" w:cs="Arial" w:eastAsia="Arial" w:hAnsi="Arial"/>
          <w:sz w:val="17"/>
          <w:szCs w:val="17"/>
          <w:color w:val="0000FF"/>
        </w:rPr>
        <w:t>12/31/2021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See Remarks</w:t>
      </w:r>
    </w:p>
    <w:p>
      <w:pPr>
        <w:spacing w:after="0" w:line="451" w:lineRule="exact"/>
        <w:rPr>
          <w:sz w:val="24"/>
          <w:szCs w:val="24"/>
          <w:color w:val="auto"/>
        </w:rPr>
      </w:pPr>
    </w:p>
    <w:p>
      <w:pPr>
        <w:sectPr>
          <w:pgSz w:w="11900" w:h="16838" w:orient="portrait"/>
          <w:cols w:equalWidth="0" w:num="3">
            <w:col w:w="3500" w:space="411"/>
            <w:col w:w="3649" w:space="1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760" w:type="dxa"/>
            <w:vAlign w:val="bottom"/>
            <w:gridSpan w:val="6"/>
          </w:tcPr>
          <w:p>
            <w:pPr>
              <w:ind w:left="140"/>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540" w:type="dxa"/>
            <w:vAlign w:val="bottom"/>
            <w:gridSpan w:val="9"/>
          </w:tcPr>
          <w:p>
            <w:pPr>
              <w:ind w:left="20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SEOUL</w:t>
            </w:r>
          </w:p>
        </w:tc>
        <w:tc>
          <w:tcPr>
            <w:tcW w:w="860" w:type="dxa"/>
            <w:vAlign w:val="bottom"/>
            <w:vMerge w:val="restart"/>
          </w:tcPr>
          <w:p>
            <w:pPr>
              <w:ind w:left="600"/>
              <w:spacing w:after="0"/>
              <w:rPr>
                <w:sz w:val="20"/>
                <w:szCs w:val="20"/>
                <w:color w:val="auto"/>
              </w:rPr>
            </w:pPr>
            <w:r>
              <w:rPr>
                <w:rFonts w:ascii="Arial" w:cs="Arial" w:eastAsia="Arial" w:hAnsi="Arial"/>
                <w:sz w:val="17"/>
                <w:szCs w:val="17"/>
                <w:color w:val="0000FF"/>
              </w:rPr>
              <w:t>M5</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06168</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jc w:val="center"/>
              <w:ind w:left="6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Arial" w:cs="Arial" w:eastAsia="Arial" w:hAnsi="Arial"/>
                <w:sz w:val="17"/>
                <w:szCs w:val="17"/>
                <w:color w:val="0000FF"/>
                <w:w w:val="93"/>
              </w:rPr>
              <w:t>12/31/2021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2"/>
              </w:rPr>
              <w:t>2,775</w:t>
            </w:r>
            <w:r>
              <w:rPr>
                <w:rFonts w:ascii="Arial" w:cs="Arial" w:eastAsia="Arial" w:hAnsi="Arial"/>
                <w:sz w:val="22"/>
                <w:szCs w:val="22"/>
                <w:color w:val="008000"/>
                <w:w w:val="92"/>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20.97</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141,130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Arial" w:cs="Arial" w:eastAsia="Arial" w:hAnsi="Arial"/>
                <w:sz w:val="17"/>
                <w:szCs w:val="17"/>
                <w:color w:val="0000FF"/>
                <w:w w:val="93"/>
              </w:rPr>
              <w:t>12/31/2021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2"/>
              </w:rPr>
              <w:t>2,467</w:t>
            </w:r>
            <w:r>
              <w:rPr>
                <w:rFonts w:ascii="Arial" w:cs="Arial" w:eastAsia="Arial" w:hAnsi="Arial"/>
                <w:sz w:val="22"/>
                <w:szCs w:val="22"/>
                <w:color w:val="008000"/>
                <w:w w:val="92"/>
                <w:vertAlign w:val="superscript"/>
              </w:rPr>
              <w:t>(2)</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20.97</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138,663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Arial" w:cs="Arial" w:eastAsia="Arial" w:hAnsi="Arial"/>
                <w:sz w:val="17"/>
                <w:szCs w:val="17"/>
                <w:color w:val="0000FF"/>
                <w:w w:val="93"/>
              </w:rPr>
              <w:t>12/31/2021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2"/>
              </w:rPr>
              <w:t>2,690</w:t>
            </w:r>
            <w:r>
              <w:rPr>
                <w:rFonts w:ascii="Arial" w:cs="Arial" w:eastAsia="Arial" w:hAnsi="Arial"/>
                <w:sz w:val="22"/>
                <w:szCs w:val="22"/>
                <w:color w:val="008000"/>
                <w:w w:val="92"/>
                <w:vertAlign w:val="superscript"/>
              </w:rPr>
              <w:t>(3)</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20.97</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135,973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6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transaction represents the withholding by the Issuer of 2,775 shares of common stock to satisfy tax withholding obligations incurred by the Reporting Person upon the vesting of 7,500 shares of common stock originally awarded to the Reporting Person on October 22, 2019.</w:t>
      </w:r>
    </w:p>
    <w:p>
      <w:pPr>
        <w:spacing w:after="0" w:line="15" w:lineRule="exact"/>
        <w:rPr>
          <w:rFonts w:ascii="Arial" w:cs="Arial" w:eastAsia="Arial" w:hAnsi="Arial"/>
          <w:sz w:val="13"/>
          <w:szCs w:val="13"/>
          <w:color w:val="008000"/>
        </w:rPr>
      </w:pPr>
    </w:p>
    <w:p>
      <w:pPr>
        <w:ind w:left="40" w:right="36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transaction represents the withholding by the Issuer of 2,467 shares of common stock to satisfy tax withholding obligations incurred by the Reporting Person upon the vesting of 6,667 shares of common stock originally awarded to the Reporting Person on May 7, 2020.</w:t>
      </w:r>
    </w:p>
    <w:p>
      <w:pPr>
        <w:spacing w:after="0" w:line="15" w:lineRule="exact"/>
        <w:rPr>
          <w:rFonts w:ascii="Arial" w:cs="Arial" w:eastAsia="Arial" w:hAnsi="Arial"/>
          <w:sz w:val="13"/>
          <w:szCs w:val="13"/>
          <w:color w:val="008000"/>
        </w:rPr>
      </w:pPr>
    </w:p>
    <w:p>
      <w:pPr>
        <w:ind w:left="40" w:right="36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transaction represents the withholding by the Issuer of 2,690 shares of common stock to satisfy tax withholding obligations incurred by the Reporting Person upon the vesting of 7,268 shares of common stock originally awarded to the Reporting Person on February 19, 2021.</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Chief Compliance Officer, General Counsel and Secretary</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Theodore Kim</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01/04/2022</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92205"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2022-01-04T15:28:24Z</dcterms:created>
  <dcterms:modified xsi:type="dcterms:W3CDTF">2022-01-04T15:28:24Z</dcterms:modified>
</cp:coreProperties>
</file>