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Lee Tae Jong</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20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03/10/2011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u w:val="single" w:color="auto"/>
            <w:color w:val="0000EE"/>
          </w:rPr>
          <w:t>MAGNACHIP SEMICONDUCTOR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5" w:lineRule="exact"/>
        <w:rPr>
          <w:sz w:val="24"/>
          <w:szCs w:val="24"/>
          <w:color w:val="auto"/>
        </w:rPr>
      </w:pPr>
    </w:p>
    <w:p>
      <w:pPr>
        <w:sectPr>
          <w:pgSz w:w="11900" w:h="16838" w:orient="portrait"/>
          <w:cols w:equalWidth="0" w:num="2">
            <w:col w:w="4720" w:space="480"/>
            <w:col w:w="6220"/>
          </w:cols>
          <w:pgMar w:left="240" w:top="220"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1314"/>
        <w:spacing w:after="0" w:line="275" w:lineRule="auto"/>
        <w:rPr>
          <w:sz w:val="20"/>
          <w:szCs w:val="20"/>
          <w:color w:val="auto"/>
        </w:rPr>
      </w:pPr>
      <w:r>
        <w:rPr>
          <w:rFonts w:ascii="Times New Roman" w:cs="Times New Roman" w:eastAsia="Times New Roman" w:hAnsi="Times New Roman"/>
          <w:sz w:val="18"/>
          <w:szCs w:val="18"/>
          <w:color w:val="0000FF"/>
        </w:rPr>
        <w:t>20400 STEVENS CREEK BOULEVARD, SUITE 370</w:t>
      </w:r>
    </w:p>
    <w:p>
      <w:pPr>
        <w:spacing w:after="0" w:line="293"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5"/>
                <w:szCs w:val="15"/>
                <w:color w:val="auto"/>
              </w:rPr>
            </w:pPr>
          </w:p>
        </w:tc>
      </w:tr>
      <w:tr>
        <w:trPr>
          <w:trHeight w:val="240"/>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CUPERTINO CA</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95014</w:t>
            </w:r>
          </w:p>
        </w:tc>
      </w:tr>
    </w:tbl>
    <w:p>
      <w:pPr>
        <w:spacing w:after="0" w:line="20" w:lineRule="exact"/>
        <w:rPr>
          <w:sz w:val="24"/>
          <w:szCs w:val="24"/>
          <w:color w:val="auto"/>
        </w:rPr>
      </w:pPr>
      <w:r>
        <w:rPr>
          <w:sz w:val="24"/>
          <w:szCs w:val="24"/>
          <w:color w:val="auto"/>
        </w:rPr>
        <w:br w:type="column"/>
      </w:r>
    </w:p>
    <w:p>
      <w:pPr>
        <w:ind w:left="6" w:right="160" w:hanging="6"/>
        <w:spacing w:after="0" w:line="250"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6" w:type="dxa"/>
        <w:tblCellMar>
          <w:top w:w="0" w:type="dxa"/>
          <w:left w:w="0" w:type="dxa"/>
          <w:bottom w:w="0" w:type="dxa"/>
          <w:right w:w="0" w:type="dxa"/>
        </w:tblCellMar>
      </w:tblPr>
      <w:tr>
        <w:trPr>
          <w:trHeight w:val="180"/>
        </w:trPr>
        <w:tc>
          <w:tcPr>
            <w:tcW w:w="2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20" w:type="dxa"/>
            <w:vAlign w:val="bottom"/>
            <w:vMerge w:val="continue"/>
          </w:tcPr>
          <w:p>
            <w:pPr>
              <w:spacing w:after="0"/>
              <w:rPr>
                <w:sz w:val="10"/>
                <w:szCs w:val="10"/>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2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86"/>
        <w:spacing w:after="0"/>
        <w:rPr>
          <w:sz w:val="20"/>
          <w:szCs w:val="20"/>
          <w:color w:val="auto"/>
        </w:rPr>
      </w:pPr>
      <w:r>
        <w:rPr>
          <w:rFonts w:ascii="Times New Roman" w:cs="Times New Roman" w:eastAsia="Times New Roman" w:hAnsi="Times New Roman"/>
          <w:sz w:val="18"/>
          <w:szCs w:val="18"/>
          <w:color w:val="0000FF"/>
        </w:rPr>
        <w:t>Sen VP &amp; GC Corp Engineering</w:t>
      </w:r>
    </w:p>
    <w:p>
      <w:pPr>
        <w:spacing w:after="0" w:line="20" w:lineRule="exact"/>
        <w:rPr>
          <w:sz w:val="24"/>
          <w:szCs w:val="24"/>
          <w:color w:val="auto"/>
        </w:rPr>
      </w:pPr>
      <w:r>
        <w:rPr>
          <w:sz w:val="24"/>
          <w:szCs w:val="24"/>
          <w:color w:val="auto"/>
        </w:rPr>
        <w:br w:type="column"/>
      </w:r>
    </w:p>
    <w:p>
      <w:pPr>
        <w:ind w:left="3" w:right="4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72" w:lineRule="exact"/>
        <w:rPr>
          <w:rFonts w:ascii="Arial" w:cs="Arial" w:eastAsia="Arial" w:hAnsi="Arial"/>
          <w:sz w:val="14"/>
          <w:szCs w:val="14"/>
          <w:color w:val="auto"/>
        </w:rPr>
      </w:pPr>
    </w:p>
    <w:p>
      <w:pPr>
        <w:ind w:left="3" w:right="3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5" w:lineRule="exact"/>
        <w:rPr>
          <w:sz w:val="24"/>
          <w:szCs w:val="24"/>
          <w:color w:val="auto"/>
        </w:rPr>
      </w:pPr>
    </w:p>
    <w:p>
      <w:pPr>
        <w:ind w:left="483" w:hanging="316"/>
        <w:spacing w:after="0"/>
        <w:tabs>
          <w:tab w:leader="none" w:pos="483" w:val="left"/>
        </w:tabs>
        <w:numPr>
          <w:ilvl w:val="0"/>
          <w:numId w:val="3"/>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6"/>
          <w:szCs w:val="16"/>
          <w:color w:val="0000FF"/>
        </w:rPr>
      </w:pPr>
    </w:p>
    <w:p>
      <w:pPr>
        <w:ind w:left="483" w:right="640"/>
        <w:spacing w:after="0" w:line="250" w:lineRule="auto"/>
        <w:rPr>
          <w:rFonts w:ascii="Times New Roman" w:cs="Times New Roman" w:eastAsia="Times New Roman" w:hAnsi="Times New Roman"/>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0" w:right="239" w:bottom="1440" w:gutter="0" w:footer="0" w:header="0"/>
          <w:type w:val="continuous"/>
        </w:sectPr>
      </w:pPr>
    </w:p>
    <w:p>
      <w:pPr>
        <w:spacing w:after="0" w:line="4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90"/>
        </w:trPr>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r>
      <w:tr>
        <w:trPr>
          <w:trHeight w:val="38"/>
        </w:trPr>
        <w:tc>
          <w:tcPr>
            <w:tcW w:w="3440" w:type="dxa"/>
            <w:vAlign w:val="bottom"/>
            <w:tcBorders>
              <w:bottom w:val="single" w:sz="8" w:color="2C2C2C"/>
            </w:tcBorders>
          </w:tcPr>
          <w:p>
            <w:pPr>
              <w:spacing w:after="0"/>
              <w:rPr>
                <w:sz w:val="3"/>
                <w:szCs w:val="3"/>
                <w:color w:val="auto"/>
              </w:rPr>
            </w:pPr>
          </w:p>
        </w:tc>
        <w:tc>
          <w:tcPr>
            <w:tcW w:w="36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jc w:val="right"/>
              <w:ind w:right="684"/>
              <w:spacing w:after="0"/>
              <w:rPr>
                <w:sz w:val="20"/>
                <w:szCs w:val="20"/>
                <w:color w:val="auto"/>
              </w:rPr>
            </w:pPr>
            <w:r>
              <w:rPr>
                <w:rFonts w:ascii="Times New Roman" w:cs="Times New Roman" w:eastAsia="Times New Roman" w:hAnsi="Times New Roman"/>
                <w:sz w:val="18"/>
                <w:szCs w:val="18"/>
                <w:color w:val="0000FF"/>
              </w:rPr>
              <w:t>21,000</w:t>
            </w: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30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5840" w:type="dxa"/>
            <w:vAlign w:val="bottom"/>
            <w:gridSpan w:val="6"/>
          </w:tcPr>
          <w:p>
            <w:pPr>
              <w:ind w:left="2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0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20" w:type="dxa"/>
            <w:vAlign w:val="bottom"/>
          </w:tcPr>
          <w:p>
            <w:pPr>
              <w:spacing w:after="0"/>
              <w:rPr>
                <w:sz w:val="15"/>
                <w:szCs w:val="15"/>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0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0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3"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vMerge w:val="continue"/>
          </w:tcPr>
          <w:p>
            <w:pPr>
              <w:spacing w:after="0"/>
              <w:rPr>
                <w:sz w:val="16"/>
                <w:szCs w:val="16"/>
                <w:color w:val="auto"/>
              </w:rPr>
            </w:pP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Employee Stock Option (Right to Buy)</w:t>
            </w:r>
          </w:p>
        </w:tc>
        <w:tc>
          <w:tcPr>
            <w:tcW w:w="1400" w:type="dxa"/>
            <w:vAlign w:val="bottom"/>
            <w:gridSpan w:val="2"/>
          </w:tcPr>
          <w:p>
            <w:pPr>
              <w:jc w:val="right"/>
              <w:ind w:right="309"/>
              <w:spacing w:after="0"/>
              <w:rPr>
                <w:sz w:val="20"/>
                <w:szCs w:val="20"/>
                <w:color w:val="auto"/>
              </w:rPr>
            </w:pPr>
            <w:r>
              <w:rPr>
                <w:rFonts w:ascii="Times New Roman" w:cs="Times New Roman" w:eastAsia="Times New Roman" w:hAnsi="Times New Roman"/>
                <w:sz w:val="11"/>
                <w:szCs w:val="11"/>
                <w:color w:val="008000"/>
              </w:rPr>
              <w:t>(1)</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0000FF"/>
              </w:rPr>
              <w:t>12/08/2019</w:t>
            </w:r>
          </w:p>
        </w:tc>
        <w:tc>
          <w:tcPr>
            <w:tcW w:w="186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Pr>
          <w:p>
            <w:pPr>
              <w:ind w:left="320"/>
              <w:spacing w:after="0"/>
              <w:rPr>
                <w:sz w:val="20"/>
                <w:szCs w:val="20"/>
                <w:color w:val="auto"/>
              </w:rPr>
            </w:pPr>
            <w:r>
              <w:rPr>
                <w:rFonts w:ascii="Times New Roman" w:cs="Times New Roman" w:eastAsia="Times New Roman" w:hAnsi="Times New Roman"/>
                <w:sz w:val="18"/>
                <w:szCs w:val="18"/>
                <w:color w:val="0000FF"/>
              </w:rPr>
              <w:t>49,000</w:t>
            </w:r>
          </w:p>
        </w:tc>
        <w:tc>
          <w:tcPr>
            <w:tcW w:w="88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5.88</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4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40" w:right="260" w:firstLine="9"/>
        <w:spacing w:after="0" w:line="241" w:lineRule="auto"/>
        <w:tabs>
          <w:tab w:leader="none" w:pos="175"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Option granted December 8, 2009, becoming vested and exercisable, subject to continued service: 34% on 12/8/2010; 9% on 3/8/2011; 8% on each of 6/8/2011, 9/8/2011, and 12/8/2011; 9% on 3/8/2012; and 8% on each of 6/8/2012, 9/8/2012, and 12/8/2012.</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Exhibit 24 - Power of Attorney</w:t>
      </w:r>
    </w:p>
    <w:p>
      <w:pPr>
        <w:spacing w:after="0" w:line="30"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7"/>
              </w:rPr>
              <w:t>/s/ Micheal Reagan, Attorney-</w:t>
            </w:r>
          </w:p>
        </w:tc>
        <w:tc>
          <w:tcPr>
            <w:tcW w:w="80" w:type="dxa"/>
            <w:vAlign w:val="bottom"/>
          </w:tcPr>
          <w:p>
            <w:pPr>
              <w:spacing w:after="0"/>
              <w:rPr>
                <w:sz w:val="19"/>
                <w:szCs w:val="19"/>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0000FF"/>
                <w:w w:val="92"/>
              </w:rPr>
              <w:t>03/10/2011</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center"/>
        <w:ind w:right="1659"/>
        <w:spacing w:after="0"/>
        <w:rPr>
          <w:sz w:val="20"/>
          <w:szCs w:val="20"/>
          <w:color w:val="auto"/>
        </w:rPr>
      </w:pPr>
      <w:r>
        <w:rPr>
          <w:rFonts w:ascii="Courier New" w:cs="Courier New" w:eastAsia="Courier New" w:hAnsi="Courier New"/>
          <w:sz w:val="18"/>
          <w:szCs w:val="18"/>
          <w:color w:val="auto"/>
        </w:rPr>
        <w:t>LIMITED POWER OF ATTORNEY</w:t>
      </w:r>
    </w:p>
    <w:p>
      <w:pPr>
        <w:spacing w:after="0" w:line="3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FOR SECTION 16(a) REPORTING</w:t>
      </w:r>
    </w:p>
    <w:p>
      <w:pPr>
        <w:spacing w:after="0" w:line="169" w:lineRule="exact"/>
        <w:rPr>
          <w:sz w:val="20"/>
          <w:szCs w:val="20"/>
          <w:color w:val="auto"/>
        </w:rPr>
      </w:pPr>
    </w:p>
    <w:p>
      <w:pPr>
        <w:ind w:right="1879" w:firstLine="843"/>
        <w:spacing w:after="0" w:line="260"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John McFarland, Micheal J. Reagan, Yem Mai and Charlotte X. Fu,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93" w:lineRule="exact"/>
        <w:rPr>
          <w:sz w:val="20"/>
          <w:szCs w:val="20"/>
          <w:color w:val="auto"/>
        </w:rPr>
      </w:pPr>
    </w:p>
    <w:p>
      <w:pPr>
        <w:ind w:right="1879" w:firstLine="851"/>
        <w:spacing w:after="0" w:line="256" w:lineRule="auto"/>
        <w:tabs>
          <w:tab w:leader="none" w:pos="168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Securities and Exchange Commission ("SEC") a Form ID, including amendments thereto, and any other documents necessary or appropriate to obtain codes and passwords enabling the undersigned to make electronic filings with the SEC of reports required or considered advisable under Section 16(a) of the Securities Exchange Act of 1934 (the "Exchange Act") or any rule or regulation of the SEC;</w:t>
      </w:r>
    </w:p>
    <w:p>
      <w:pPr>
        <w:spacing w:after="0" w:line="98" w:lineRule="exact"/>
        <w:rPr>
          <w:rFonts w:ascii="Courier New" w:cs="Courier New" w:eastAsia="Courier New" w:hAnsi="Courier New"/>
          <w:sz w:val="18"/>
          <w:szCs w:val="18"/>
          <w:color w:val="auto"/>
        </w:rPr>
      </w:pPr>
    </w:p>
    <w:p>
      <w:pPr>
        <w:ind w:right="1779" w:firstLine="851"/>
        <w:spacing w:after="0" w:line="256" w:lineRule="auto"/>
        <w:tabs>
          <w:tab w:leader="none" w:pos="168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and submit to the SEC, any national securities exchange or securities quotation system and MagnaChip Semiconductor LLC (which will be converted into MagnaChip Semiconductor Corporation) (the "Company")any and all reports (including any amendment thereto) of the undersigned required or considered advisable under Section 16(a) of the Exchange Act and the rules and regulations thereunder, with respect to the equity securities of the Company, including Forms 3, 4 and 5; and</w:t>
      </w:r>
    </w:p>
    <w:p>
      <w:pPr>
        <w:spacing w:after="0" w:line="98" w:lineRule="exact"/>
        <w:rPr>
          <w:rFonts w:ascii="Courier New" w:cs="Courier New" w:eastAsia="Courier New" w:hAnsi="Courier New"/>
          <w:sz w:val="18"/>
          <w:szCs w:val="18"/>
          <w:color w:val="auto"/>
        </w:rPr>
      </w:pPr>
    </w:p>
    <w:p>
      <w:pPr>
        <w:ind w:right="1779" w:firstLine="851"/>
        <w:spacing w:after="0" w:line="260" w:lineRule="auto"/>
        <w:tabs>
          <w:tab w:leader="none" w:pos="168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9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1" w:lineRule="exact"/>
        <w:rPr>
          <w:sz w:val="20"/>
          <w:szCs w:val="20"/>
          <w:color w:val="auto"/>
        </w:rPr>
      </w:pPr>
    </w:p>
    <w:p>
      <w:pPr>
        <w:ind w:right="1779" w:firstLine="851"/>
        <w:spacing w:after="0" w:line="344" w:lineRule="auto"/>
        <w:tabs>
          <w:tab w:leader="none" w:pos="16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authorizes, but does not require, the Attorney-in-Fact to act at his or her discretion on information provided to such Attorney-in-Fact without independent verification of such information;</w:t>
      </w:r>
    </w:p>
    <w:p>
      <w:pPr>
        <w:spacing w:after="0" w:line="30" w:lineRule="exact"/>
        <w:rPr>
          <w:rFonts w:ascii="Courier New" w:cs="Courier New" w:eastAsia="Courier New" w:hAnsi="Courier New"/>
          <w:sz w:val="16"/>
          <w:szCs w:val="16"/>
          <w:color w:val="auto"/>
        </w:rPr>
      </w:pPr>
    </w:p>
    <w:p>
      <w:pPr>
        <w:ind w:right="1879" w:firstLine="851"/>
        <w:spacing w:after="0" w:line="274" w:lineRule="auto"/>
        <w:tabs>
          <w:tab w:leader="none" w:pos="168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 will contain such information as the Attorney-in-Fact, in his or her discretion, deems necessary or desirable;</w:t>
      </w:r>
    </w:p>
    <w:p>
      <w:pPr>
        <w:spacing w:after="0" w:line="81" w:lineRule="exact"/>
        <w:rPr>
          <w:rFonts w:ascii="Courier New" w:cs="Courier New" w:eastAsia="Courier New" w:hAnsi="Courier New"/>
          <w:sz w:val="18"/>
          <w:szCs w:val="18"/>
          <w:color w:val="auto"/>
        </w:rPr>
      </w:pPr>
    </w:p>
    <w:p>
      <w:pPr>
        <w:ind w:right="1999" w:firstLine="851"/>
        <w:spacing w:after="0" w:line="306" w:lineRule="auto"/>
        <w:tabs>
          <w:tab w:leader="none" w:pos="16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w:t>
      </w:r>
    </w:p>
    <w:p>
      <w:pPr>
        <w:spacing w:after="0" w:line="60" w:lineRule="exact"/>
        <w:rPr>
          <w:rFonts w:ascii="Courier New" w:cs="Courier New" w:eastAsia="Courier New" w:hAnsi="Courier New"/>
          <w:sz w:val="16"/>
          <w:szCs w:val="16"/>
          <w:color w:val="auto"/>
        </w:rPr>
      </w:pPr>
    </w:p>
    <w:p>
      <w:pPr>
        <w:ind w:right="1879" w:firstLine="851"/>
        <w:spacing w:after="0" w:line="318" w:lineRule="auto"/>
        <w:tabs>
          <w:tab w:leader="none" w:pos="16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does not relieve the undersigned from responsibility for compliance with the undersigned's obligations under Section 16 of the Exchange Act, including, without limitation, the reporting requirements under Section 16(a) of the Exchange Act.</w:t>
      </w:r>
    </w:p>
    <w:p>
      <w:pPr>
        <w:spacing w:after="0" w:line="52" w:lineRule="exact"/>
        <w:rPr>
          <w:sz w:val="20"/>
          <w:szCs w:val="20"/>
          <w:color w:val="auto"/>
        </w:rPr>
      </w:pPr>
    </w:p>
    <w:p>
      <w:pPr>
        <w:ind w:right="1779" w:firstLine="843"/>
        <w:spacing w:after="0" w:line="256"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 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98" w:lineRule="exact"/>
        <w:rPr>
          <w:sz w:val="20"/>
          <w:szCs w:val="20"/>
          <w:color w:val="auto"/>
        </w:rPr>
      </w:pPr>
    </w:p>
    <w:p>
      <w:pPr>
        <w:ind w:right="1779" w:firstLine="843"/>
        <w:spacing w:after="0" w:line="265"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4 or 5 with respect to the undersigned's holdings of and transactions in equity securities of the Company, unless earlier revoked by the undersigned in a signed writing delivered to the Attorney-in-Fact.</w:t>
      </w:r>
    </w:p>
    <w:p>
      <w:pPr>
        <w:spacing w:after="0" w:line="90" w:lineRule="exact"/>
        <w:rPr>
          <w:sz w:val="20"/>
          <w:szCs w:val="20"/>
          <w:color w:val="auto"/>
        </w:rPr>
      </w:pPr>
    </w:p>
    <w:p>
      <w:pPr>
        <w:ind w:right="1999" w:firstLine="843"/>
        <w:spacing w:after="0" w:line="347"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May 12, 2010.</w:t>
      </w:r>
    </w:p>
    <w:p>
      <w:pPr>
        <w:spacing w:after="0" w:line="1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Signature: /s/ Tae Jong Lee</w:t>
      </w:r>
    </w:p>
    <w:p>
      <w:pPr>
        <w:spacing w:after="0" w:line="2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Print Name: Tae Jong Lee</w:t>
      </w:r>
    </w:p>
    <w:sectPr>
      <w:pgSz w:w="11900" w:h="16838" w:orient="portrait"/>
      <w:cols w:equalWidth="0" w:num="1">
        <w:col w:w="10219"/>
      </w:cols>
      <w:pgMar w:left="240" w:top="110" w:right="1440" w:bottom="93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92296" TargetMode="External"/><Relationship Id="rId12"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2019-12-17T15:10:30Z</dcterms:created>
  <dcterms:modified xsi:type="dcterms:W3CDTF">2019-12-17T15:10:30Z</dcterms:modified>
</cp:coreProperties>
</file>