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3900" w:type="dxa"/>
            <w:vAlign w:val="bottom"/>
          </w:tcPr>
          <w:p>
            <w:pPr>
              <w:jc w:val="center"/>
              <w:ind w:right="2138"/>
              <w:spacing w:after="0"/>
              <w:rPr>
                <w:sz w:val="20"/>
                <w:szCs w:val="20"/>
                <w:color w:val="auto"/>
              </w:rPr>
            </w:pPr>
            <w:r>
              <w:rPr>
                <w:rFonts w:ascii="Arial" w:cs="Arial" w:eastAsia="Arial" w:hAnsi="Arial"/>
                <w:sz w:val="18"/>
                <w:szCs w:val="18"/>
                <w:b w:val="1"/>
                <w:bCs w:val="1"/>
                <w:color w:val="auto"/>
                <w:w w:val="91"/>
              </w:rPr>
              <w:t>Delaware</w:t>
            </w:r>
          </w:p>
        </w:tc>
        <w:tc>
          <w:tcPr>
            <w:tcW w:w="2160" w:type="dxa"/>
            <w:vAlign w:val="bottom"/>
          </w:tcPr>
          <w:p>
            <w:pPr>
              <w:ind w:left="460"/>
              <w:spacing w:after="0"/>
              <w:rPr>
                <w:sz w:val="20"/>
                <w:szCs w:val="20"/>
                <w:color w:val="auto"/>
              </w:rPr>
            </w:pPr>
            <w:r>
              <w:rPr>
                <w:rFonts w:ascii="Arial" w:cs="Arial" w:eastAsia="Arial" w:hAnsi="Arial"/>
                <w:sz w:val="18"/>
                <w:szCs w:val="18"/>
                <w:b w:val="1"/>
                <w:bCs w:val="1"/>
                <w:color w:val="auto"/>
              </w:rPr>
              <w:t>001-34791</w:t>
            </w:r>
          </w:p>
        </w:tc>
        <w:tc>
          <w:tcPr>
            <w:tcW w:w="3000" w:type="dxa"/>
            <w:vAlign w:val="bottom"/>
          </w:tcPr>
          <w:p>
            <w:pPr>
              <w:jc w:val="center"/>
              <w:ind w:left="180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3900" w:type="dxa"/>
            <w:vAlign w:val="bottom"/>
          </w:tcPr>
          <w:p>
            <w:pPr>
              <w:jc w:val="center"/>
              <w:ind w:right="211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16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(Commission</w:t>
            </w:r>
          </w:p>
        </w:tc>
        <w:tc>
          <w:tcPr>
            <w:tcW w:w="3000" w:type="dxa"/>
            <w:vAlign w:val="bottom"/>
          </w:tcPr>
          <w:p>
            <w:pPr>
              <w:jc w:val="center"/>
              <w:ind w:left="1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2118"/>
              <w:spacing w:after="0"/>
              <w:rPr>
                <w:sz w:val="20"/>
                <w:szCs w:val="20"/>
                <w:color w:val="auto"/>
              </w:rPr>
            </w:pPr>
            <w:r>
              <w:rPr>
                <w:rFonts w:ascii="Arial" w:cs="Arial" w:eastAsia="Arial" w:hAnsi="Arial"/>
                <w:sz w:val="14"/>
                <w:szCs w:val="14"/>
                <w:b w:val="1"/>
                <w:bCs w:val="1"/>
                <w:color w:val="auto"/>
                <w:w w:val="94"/>
              </w:rPr>
              <w:t>of Incorporation)</w:t>
            </w:r>
          </w:p>
        </w:tc>
        <w:tc>
          <w:tcPr>
            <w:tcW w:w="2160" w:type="dxa"/>
            <w:vAlign w:val="bottom"/>
          </w:tcPr>
          <w:p>
            <w:pPr>
              <w:ind w:left="420"/>
              <w:spacing w:after="0"/>
              <w:rPr>
                <w:sz w:val="20"/>
                <w:szCs w:val="20"/>
                <w:color w:val="auto"/>
              </w:rPr>
            </w:pPr>
            <w:r>
              <w:rPr>
                <w:rFonts w:ascii="Arial" w:cs="Arial" w:eastAsia="Arial" w:hAnsi="Arial"/>
                <w:sz w:val="14"/>
                <w:szCs w:val="14"/>
                <w:b w:val="1"/>
                <w:bCs w:val="1"/>
                <w:color w:val="auto"/>
              </w:rPr>
              <w:t>File Number)</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3900" w:type="dxa"/>
            <w:vAlign w:val="bottom"/>
          </w:tcPr>
          <w:p>
            <w:pPr>
              <w:jc w:val="center"/>
              <w:ind w:right="238"/>
              <w:spacing w:after="0"/>
              <w:rPr>
                <w:sz w:val="20"/>
                <w:szCs w:val="20"/>
                <w:color w:val="auto"/>
              </w:rPr>
            </w:pPr>
            <w:r>
              <w:rPr>
                <w:rFonts w:ascii="Arial" w:cs="Arial" w:eastAsia="Arial" w:hAnsi="Arial"/>
                <w:sz w:val="18"/>
                <w:szCs w:val="18"/>
                <w:b w:val="1"/>
                <w:bCs w:val="1"/>
                <w:color w:val="auto"/>
                <w:w w:val="90"/>
              </w:rPr>
              <w:t>c/o MagnaChip Semiconductor S.A.</w:t>
            </w:r>
          </w:p>
        </w:tc>
        <w:tc>
          <w:tcPr>
            <w:tcW w:w="216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6"/>
        </w:trPr>
        <w:tc>
          <w:tcPr>
            <w:tcW w:w="3900" w:type="dxa"/>
            <w:vAlign w:val="bottom"/>
          </w:tcPr>
          <w:p>
            <w:pPr>
              <w:jc w:val="center"/>
              <w:ind w:right="238"/>
              <w:spacing w:after="0"/>
              <w:rPr>
                <w:sz w:val="20"/>
                <w:szCs w:val="20"/>
                <w:color w:val="auto"/>
              </w:rPr>
            </w:pPr>
            <w:r>
              <w:rPr>
                <w:rFonts w:ascii="Arial" w:cs="Arial" w:eastAsia="Arial" w:hAnsi="Arial"/>
                <w:sz w:val="18"/>
                <w:szCs w:val="18"/>
                <w:b w:val="1"/>
                <w:bCs w:val="1"/>
                <w:color w:val="auto"/>
                <w:w w:val="89"/>
              </w:rPr>
              <w:t>1, Allée Scheffer, L-2520</w:t>
            </w:r>
          </w:p>
        </w:tc>
        <w:tc>
          <w:tcPr>
            <w:tcW w:w="216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25"/>
        </w:trPr>
        <w:tc>
          <w:tcPr>
            <w:tcW w:w="3900" w:type="dxa"/>
            <w:vAlign w:val="bottom"/>
          </w:tcPr>
          <w:p>
            <w:pPr>
              <w:jc w:val="center"/>
              <w:ind w:right="238"/>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160" w:type="dxa"/>
            <w:vAlign w:val="bottom"/>
          </w:tcPr>
          <w:p>
            <w:pPr>
              <w:spacing w:after="0"/>
              <w:rPr>
                <w:sz w:val="19"/>
                <w:szCs w:val="19"/>
                <w:color w:val="auto"/>
              </w:rPr>
            </w:pP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3900" w:type="dxa"/>
            <w:vAlign w:val="bottom"/>
          </w:tcPr>
          <w:p>
            <w:pPr>
              <w:jc w:val="center"/>
              <w:ind w:right="2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16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 August 9, 2017, MagnaChip Semiconductor Corporation (the “Company”) issued the press release attached as Exhibit 99.1 to this Current Report on Form 8-K, announcing the pricing of the secondary offering of the Company’s common stock by certain of its stockholders.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filing herewith an Underwriting Agreement, dated August 9, 2017, by and among the Company, the stockholders named therein and Barclays Capital Inc., as an exhibit to its Registration Statement on Form S-3 (Registration No. 333-217576).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1.1</w:t>
            </w:r>
          </w:p>
        </w:tc>
        <w:tc>
          <w:tcPr>
            <w:tcW w:w="10700" w:type="dxa"/>
            <w:vAlign w:val="bottom"/>
            <w:gridSpan w:val="3"/>
          </w:tcPr>
          <w:p>
            <w:pPr>
              <w:ind w:left="560"/>
              <w:spacing w:after="0"/>
              <w:rPr>
                <w:sz w:val="20"/>
                <w:szCs w:val="20"/>
                <w:color w:val="auto"/>
              </w:rPr>
            </w:pPr>
            <w:r>
              <w:rPr>
                <w:rFonts w:ascii="Arial" w:cs="Arial" w:eastAsia="Arial" w:hAnsi="Arial"/>
                <w:sz w:val="18"/>
                <w:szCs w:val="18"/>
                <w:color w:val="auto"/>
                <w:w w:val="90"/>
              </w:rPr>
              <w:t>Underwriting Agreement, dated August 9, 2017, by and among MagnaChip Semiconductor Corporation, the stockholders named therein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700" w:type="dxa"/>
            <w:vAlign w:val="bottom"/>
            <w:gridSpan w:val="3"/>
          </w:tcPr>
          <w:p>
            <w:pPr>
              <w:ind w:left="560"/>
              <w:spacing w:after="0"/>
              <w:rPr>
                <w:sz w:val="20"/>
                <w:szCs w:val="20"/>
                <w:color w:val="auto"/>
              </w:rPr>
            </w:pPr>
            <w:r>
              <w:rPr>
                <w:rFonts w:ascii="Arial" w:cs="Arial" w:eastAsia="Arial" w:hAnsi="Arial"/>
                <w:sz w:val="18"/>
                <w:szCs w:val="18"/>
                <w:color w:val="auto"/>
              </w:rPr>
              <w:t>Barclays Capital Inc.</w:t>
            </w:r>
          </w:p>
        </w:tc>
        <w:tc>
          <w:tcPr>
            <w:tcW w:w="0" w:type="dxa"/>
            <w:vAlign w:val="bottom"/>
          </w:tcPr>
          <w:p>
            <w:pPr>
              <w:spacing w:after="0"/>
              <w:rPr>
                <w:sz w:val="1"/>
                <w:szCs w:val="1"/>
                <w:color w:val="auto"/>
              </w:rPr>
            </w:pPr>
          </w:p>
        </w:tc>
      </w:tr>
      <w:tr>
        <w:trPr>
          <w:trHeight w:val="324"/>
        </w:trPr>
        <w:tc>
          <w:tcPr>
            <w:tcW w:w="460" w:type="dxa"/>
            <w:vAlign w:val="bottom"/>
          </w:tcPr>
          <w:p>
            <w:pPr>
              <w:jc w:val="right"/>
              <w:ind w:right="59"/>
              <w:spacing w:after="0"/>
              <w:rPr>
                <w:sz w:val="20"/>
                <w:szCs w:val="20"/>
                <w:color w:val="auto"/>
              </w:rPr>
            </w:pPr>
            <w:r>
              <w:rPr>
                <w:rFonts w:ascii="Arial" w:cs="Arial" w:eastAsia="Arial" w:hAnsi="Arial"/>
                <w:sz w:val="18"/>
                <w:szCs w:val="18"/>
                <w:color w:val="auto"/>
                <w:w w:val="85"/>
              </w:rPr>
              <w:t>99.1</w:t>
            </w:r>
          </w:p>
        </w:tc>
        <w:tc>
          <w:tcPr>
            <w:tcW w:w="10700" w:type="dxa"/>
            <w:vAlign w:val="bottom"/>
            <w:gridSpan w:val="3"/>
          </w:tcPr>
          <w:p>
            <w:pPr>
              <w:ind w:left="560"/>
              <w:spacing w:after="0"/>
              <w:rPr>
                <w:sz w:val="20"/>
                <w:szCs w:val="20"/>
                <w:color w:val="auto"/>
              </w:rPr>
            </w:pPr>
            <w:r>
              <w:rPr>
                <w:rFonts w:ascii="Arial" w:cs="Arial" w:eastAsia="Arial" w:hAnsi="Arial"/>
                <w:sz w:val="18"/>
                <w:szCs w:val="18"/>
                <w:color w:val="auto"/>
                <w:w w:val="99"/>
              </w:rPr>
              <w:t>Press release for MagnaChip Semiconductor Corporation dated August 9, 2017, announcing the pricing of a secondary offering.</w:t>
            </w:r>
          </w:p>
        </w:tc>
        <w:tc>
          <w:tcPr>
            <w:tcW w:w="0" w:type="dxa"/>
            <w:vAlign w:val="bottom"/>
          </w:tcPr>
          <w:p>
            <w:pPr>
              <w:spacing w:after="0"/>
              <w:rPr>
                <w:sz w:val="1"/>
                <w:szCs w:val="1"/>
                <w:color w:val="auto"/>
              </w:rPr>
            </w:pPr>
          </w:p>
        </w:tc>
      </w:tr>
    </w:tbl>
    <w:p>
      <w:pPr>
        <w:sectPr>
          <w:pgSz w:w="11900" w:h="16838" w:orient="portrait"/>
          <w:cols w:equalWidth="0" w:num="1">
            <w:col w:w="11160"/>
          </w:cols>
          <w:pgMar w:left="240" w:top="270" w:right="4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August 11, 2017</w:t>
      </w:r>
      <w:r>
        <w:rPr>
          <w:sz w:val="20"/>
          <w:szCs w:val="20"/>
          <w:color w:val="auto"/>
        </w:rPr>
        <w:tab/>
      </w:r>
      <w:r>
        <w:rPr>
          <w:rFonts w:ascii="Arial" w:cs="Arial" w:eastAsia="Arial" w:hAnsi="Arial"/>
          <w:sz w:val="17"/>
          <w:szCs w:val="17"/>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Chief Compliance Officer, Executive Vice President, General Counsel</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360"/>
          </w:cols>
          <w:pgMar w:left="240" w:top="270"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Exhibit</w:t>
            </w:r>
          </w:p>
        </w:tc>
        <w:tc>
          <w:tcPr>
            <w:tcW w:w="4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60" w:type="dxa"/>
            <w:vAlign w:val="bottom"/>
            <w:vMerge w:val="continue"/>
          </w:tcPr>
          <w:p>
            <w:pPr>
              <w:spacing w:after="0"/>
              <w:rPr>
                <w:sz w:val="24"/>
                <w:szCs w:val="24"/>
                <w:color w:val="auto"/>
              </w:rPr>
            </w:pPr>
          </w:p>
        </w:tc>
        <w:tc>
          <w:tcPr>
            <w:tcW w:w="4720" w:type="dxa"/>
            <w:vAlign w:val="bottom"/>
          </w:tcPr>
          <w:p>
            <w:pPr>
              <w:spacing w:after="0"/>
              <w:rPr>
                <w:sz w:val="24"/>
                <w:szCs w:val="24"/>
                <w:color w:val="auto"/>
              </w:rPr>
            </w:pPr>
          </w:p>
        </w:tc>
        <w:tc>
          <w:tcPr>
            <w:tcW w:w="680" w:type="dxa"/>
            <w:vAlign w:val="bottom"/>
            <w:vMerge w:val="restart"/>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No.</w:t>
            </w:r>
          </w:p>
        </w:tc>
        <w:tc>
          <w:tcPr>
            <w:tcW w:w="47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1.1</w:t>
            </w:r>
          </w:p>
        </w:tc>
        <w:tc>
          <w:tcPr>
            <w:tcW w:w="10700" w:type="dxa"/>
            <w:vAlign w:val="bottom"/>
            <w:gridSpan w:val="5"/>
          </w:tcPr>
          <w:p>
            <w:pPr>
              <w:ind w:left="560"/>
              <w:spacing w:after="0"/>
              <w:rPr>
                <w:sz w:val="20"/>
                <w:szCs w:val="20"/>
                <w:color w:val="auto"/>
              </w:rPr>
            </w:pPr>
            <w:r>
              <w:rPr>
                <w:rFonts w:ascii="Arial" w:cs="Arial" w:eastAsia="Arial" w:hAnsi="Arial"/>
                <w:sz w:val="18"/>
                <w:szCs w:val="18"/>
                <w:color w:val="auto"/>
                <w:w w:val="90"/>
              </w:rPr>
              <w:t>Underwriting Agreement, dated August 9, 2017, by and among MagnaChip Semiconductor Corporation, the stockholders named therein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700" w:type="dxa"/>
            <w:vAlign w:val="bottom"/>
            <w:gridSpan w:val="5"/>
          </w:tcPr>
          <w:p>
            <w:pPr>
              <w:ind w:left="560"/>
              <w:spacing w:after="0"/>
              <w:rPr>
                <w:sz w:val="20"/>
                <w:szCs w:val="20"/>
                <w:color w:val="auto"/>
              </w:rPr>
            </w:pPr>
            <w:r>
              <w:rPr>
                <w:rFonts w:ascii="Arial" w:cs="Arial" w:eastAsia="Arial" w:hAnsi="Arial"/>
                <w:sz w:val="18"/>
                <w:szCs w:val="18"/>
                <w:color w:val="auto"/>
              </w:rPr>
              <w:t>Barclays Capital Inc.</w:t>
            </w:r>
          </w:p>
        </w:tc>
        <w:tc>
          <w:tcPr>
            <w:tcW w:w="0" w:type="dxa"/>
            <w:vAlign w:val="bottom"/>
          </w:tcPr>
          <w:p>
            <w:pPr>
              <w:spacing w:after="0"/>
              <w:rPr>
                <w:sz w:val="1"/>
                <w:szCs w:val="1"/>
                <w:color w:val="auto"/>
              </w:rPr>
            </w:pPr>
          </w:p>
        </w:tc>
      </w:tr>
      <w:tr>
        <w:trPr>
          <w:trHeight w:val="324"/>
        </w:trPr>
        <w:tc>
          <w:tcPr>
            <w:tcW w:w="460" w:type="dxa"/>
            <w:vAlign w:val="bottom"/>
          </w:tcPr>
          <w:p>
            <w:pPr>
              <w:jc w:val="right"/>
              <w:ind w:right="59"/>
              <w:spacing w:after="0"/>
              <w:rPr>
                <w:sz w:val="20"/>
                <w:szCs w:val="20"/>
                <w:color w:val="auto"/>
              </w:rPr>
            </w:pPr>
            <w:r>
              <w:rPr>
                <w:rFonts w:ascii="Arial" w:cs="Arial" w:eastAsia="Arial" w:hAnsi="Arial"/>
                <w:sz w:val="18"/>
                <w:szCs w:val="18"/>
                <w:color w:val="auto"/>
                <w:w w:val="85"/>
              </w:rPr>
              <w:t>99.1</w:t>
            </w:r>
          </w:p>
        </w:tc>
        <w:tc>
          <w:tcPr>
            <w:tcW w:w="10700" w:type="dxa"/>
            <w:vAlign w:val="bottom"/>
            <w:gridSpan w:val="5"/>
          </w:tcPr>
          <w:p>
            <w:pPr>
              <w:ind w:left="560"/>
              <w:spacing w:after="0"/>
              <w:rPr>
                <w:sz w:val="20"/>
                <w:szCs w:val="20"/>
                <w:color w:val="auto"/>
              </w:rPr>
            </w:pPr>
            <w:r>
              <w:rPr>
                <w:rFonts w:ascii="Arial" w:cs="Arial" w:eastAsia="Arial" w:hAnsi="Arial"/>
                <w:sz w:val="18"/>
                <w:szCs w:val="18"/>
                <w:color w:val="auto"/>
                <w:w w:val="99"/>
              </w:rPr>
              <w:t>Press release for MagnaChip Semiconductor Corporation dated August 9, 2017, announcing the pricing of a secondary offering.</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60"/>
          </w:cols>
          <w:pgMar w:left="2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Certain stockholders of MagnaChip Semiconductor Corporation, a Delaware corporation (the “Company”), named in Schedule I hereto (the “Selling Stockholders”) propose, severally and not jointly, subject to the terms and conditions stated herein, to sell to Barclays Capital Inc. (the “Underwriter”) an aggregate of 4,088,978 shares of common stock, par value $0.01 per share (“Common Stock”), of the Company. The 4,088,978 shares of Common Stock to be sold by the Selling Stockholders are herein called the “Shares.”</w:t>
      </w:r>
    </w:p>
    <w:p>
      <w:pPr>
        <w:spacing w:after="0" w:line="79"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The Company represents and warrants to, and agrees with, the Underwriter that:</w:t>
      </w:r>
    </w:p>
    <w:p>
      <w:pPr>
        <w:spacing w:after="0" w:line="117" w:lineRule="exact"/>
        <w:rPr>
          <w:rFonts w:ascii="Arial" w:cs="Arial" w:eastAsia="Arial" w:hAnsi="Arial"/>
          <w:sz w:val="18"/>
          <w:szCs w:val="18"/>
          <w:color w:val="auto"/>
        </w:rPr>
      </w:pPr>
    </w:p>
    <w:p>
      <w:pPr>
        <w:ind w:left="460" w:right="20" w:firstLine="443"/>
        <w:spacing w:after="0" w:line="268" w:lineRule="auto"/>
        <w:tabs>
          <w:tab w:leader="none" w:pos="1113" w:val="left"/>
        </w:tabs>
        <w:numPr>
          <w:ilvl w:val="1"/>
          <w:numId w:val="2"/>
        </w:numPr>
        <w:rPr>
          <w:rFonts w:ascii="Arial" w:cs="Arial" w:eastAsia="Arial" w:hAnsi="Arial"/>
          <w:sz w:val="17"/>
          <w:szCs w:val="17"/>
          <w:color w:val="auto"/>
        </w:rPr>
      </w:pPr>
      <w:r>
        <w:rPr>
          <w:rFonts w:ascii="Arial" w:cs="Arial" w:eastAsia="Arial" w:hAnsi="Arial"/>
          <w:sz w:val="17"/>
          <w:szCs w:val="17"/>
          <w:color w:val="auto"/>
        </w:rPr>
        <w:t>A registration statement on Form S-3 (File No. 333-217576) (the “Initial Registration Statement”) in respect of the Shares has been filed with the Securities and Exchange Commission (the “Commission”); the Initial Registration Statement and any post-effective amendment thereto, each in the form heretofore delivered to you and, excluding exhibits to the Initial Registration Statement, but including all documents incorporated by reference in the prospectus included therein,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any document incorporated by reference therein has heretofore been filed, or transmitted for filing, with the Commission (other than prospectuses filed pursuant to Rule 424(b) of the rules and regulations of the Commission under the Act, each in the form heretofore delivered to the Underwriter or, in the case of the Prospectus (as defined below), to be delivered to the Underwriter); and no stop order suspending the effectiveness of the Initial Registration Statement, any post-effective amendment thereto or the Rule 462(b) Registration Statement, if any, has been issued and no proceeding for that purpose has been initiated or, to the knowledge of the Company, threatened by the Commission (the base prospectus filed as part of the Initial Registration Statement, in the form in which it has most recently been filed with the Commission on or prior to the date of this Agreement relating to the Shares, is hereinafter called the “Base Prospectus”; any preliminary prospectus (including any preliminary prospectus supplement) relating to the Shares filed with the Commission pursuant to Rule 424(b) under the Act is hereinafter called a “Preliminary Prospectus”; the various parts of the Initial Registration Statement and the Rule 462(b) Registration Statement, if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 w:name="page6"/>
    <w:bookmarkEnd w:id="5"/>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all exhibits thereto and including any prospectus supplement relating to the Shares that is filed with the Commission and deemed by virtue of Rule 430B under the Act to be part of the Initial Registration Statement, each as amended at the time such part of the Initial Registration Statement became effective or such part of the Rule 462(b) Registration Statement, if any, became or hereafter becomes effective, are hereinafter collectively called the “Registration Statement”; the Base Prospectus, as amended and supplemented, including without limitation by and including the Preliminary Prospectus, immediately prior to the Applicable Time (as defined in Section 1(a)(iv) hereof), is hereinafter called the “Pricing Prospectus”; the form of final prospectus relating to the Shares filed with the Commission pursuant to Rule 424(b) under the Act in accordance with Section 5(a) hereof is hereinafter called the “Prospectus”; any reference herein to the Base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Base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“Exchange Act”), and incorporated therein, in each case after the date of the Base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“issuer free writing prospectus” as defined in Rule 433 under the Act relating to the Shares is hereinafter called an “Issuer Free Writing Prospectus”);</w:t>
      </w:r>
    </w:p>
    <w:p>
      <w:pPr>
        <w:spacing w:after="0" w:line="73" w:lineRule="exact"/>
        <w:rPr>
          <w:sz w:val="20"/>
          <w:szCs w:val="20"/>
          <w:color w:val="auto"/>
        </w:rPr>
      </w:pPr>
    </w:p>
    <w:p>
      <w:pPr>
        <w:ind w:right="200" w:firstLine="443"/>
        <w:spacing w:after="0" w:line="264" w:lineRule="auto"/>
        <w:tabs>
          <w:tab w:leader="none" w:pos="70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eligible to use Form S-3 under the rules and regulations of the Commission presently in effect under the Act in connection with the registration and offering of the Shares in the offering contemplated in this Agreement and the Shares have been and remain eligible for registration by the Company on such shelf registration statement;</w:t>
      </w:r>
    </w:p>
    <w:p>
      <w:pPr>
        <w:spacing w:after="0" w:line="73" w:lineRule="exact"/>
        <w:rPr>
          <w:rFonts w:ascii="Arial" w:cs="Arial" w:eastAsia="Arial" w:hAnsi="Arial"/>
          <w:sz w:val="18"/>
          <w:szCs w:val="18"/>
          <w:color w:val="auto"/>
        </w:rPr>
      </w:pPr>
    </w:p>
    <w:p>
      <w:pPr>
        <w:ind w:right="60" w:firstLine="443"/>
        <w:spacing w:after="0" w:line="273" w:lineRule="auto"/>
        <w:tabs>
          <w:tab w:leader="none" w:pos="753"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representation and warranty shall not apply to any statements or omissions made in reliance upon and in conformity with information furnished in writing to the Company by the Underwriter expressly for use therein;</w:t>
      </w:r>
    </w:p>
    <w:p>
      <w:pPr>
        <w:spacing w:after="0" w:line="70" w:lineRule="exact"/>
        <w:rPr>
          <w:rFonts w:ascii="Arial" w:cs="Arial" w:eastAsia="Arial" w:hAnsi="Arial"/>
          <w:sz w:val="17"/>
          <w:szCs w:val="17"/>
          <w:color w:val="auto"/>
        </w:rPr>
      </w:pPr>
    </w:p>
    <w:p>
      <w:pPr>
        <w:jc w:val="both"/>
        <w:ind w:firstLine="443"/>
        <w:spacing w:after="0" w:line="259" w:lineRule="auto"/>
        <w:tabs>
          <w:tab w:leader="none" w:pos="743"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the purposes of this Agreement, the “Applicable Time” is as defined in Schedule II(b) hereto. The Pricing Prospectus as supplemented by the information listed in Schedule II(b) hereto (collectively, the “Pricing Disclosure Package”) taken together as of the Applicable Time, did not include any untrue statement of a material fact or omit to state any material fact necessary in order to make the statements therein, in the light of the circumstances under which they were made, not misleading; and each</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6" w:name="page7"/>
    <w:bookmarkEnd w:id="6"/>
    <w:p>
      <w:pPr>
        <w:ind w:right="2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Issuer Free Writing Prospectus listed on Schedule II(a) or Schedule II(b) hereto does not conflict with the information contained in the Registration Statement, the Pricing Prospectus or the Prospectus and each such Issuer Free Writing Prospectus,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representation and warranty shall not apply to statements or omissions made in the Pricing Disclosure Package or an Issuer Free Writing Prospectus in reliance upon and in conformity with information furnished in writing to the Company by the Underwriter expressly for use therein;</w:t>
      </w:r>
    </w:p>
    <w:p>
      <w:pPr>
        <w:spacing w:after="0" w:line="57" w:lineRule="exact"/>
        <w:rPr>
          <w:sz w:val="20"/>
          <w:szCs w:val="20"/>
          <w:color w:val="auto"/>
        </w:rPr>
      </w:pPr>
    </w:p>
    <w:p>
      <w:pPr>
        <w:ind w:firstLine="443"/>
        <w:spacing w:after="0" w:line="287" w:lineRule="auto"/>
        <w:tabs>
          <w:tab w:leader="none" w:pos="693"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documents incorporated by reference in the Pricing Prospectus and Prospectus, when they became effective or were filed with the Commission, as the case may be, conformed in all material respects to the requirements of the Act or the Exchange Act, as applicable, and the rules and regulations of the Commission thereunder, and none of such documents, when they became effective or were filed with the Commission,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representation and warranty shall not apply to any statements or omissions made in reliance upon and in conformity with information furnished in writing to the Company by the Underwriter expressly for use therein; and no such documents were filed with the Commission since the Commission’s close of business on the business day immediately prior to the date of this Agreement and prior to the execution of this Agreement, except as set forth on Schedule II(b) hereto;</w:t>
      </w:r>
    </w:p>
    <w:p>
      <w:pPr>
        <w:spacing w:after="0" w:line="60" w:lineRule="exact"/>
        <w:rPr>
          <w:rFonts w:ascii="Arial" w:cs="Arial" w:eastAsia="Arial" w:hAnsi="Arial"/>
          <w:sz w:val="16"/>
          <w:szCs w:val="16"/>
          <w:color w:val="auto"/>
        </w:rPr>
      </w:pPr>
    </w:p>
    <w:p>
      <w:pPr>
        <w:ind w:right="40" w:firstLine="443"/>
        <w:spacing w:after="0" w:line="293" w:lineRule="auto"/>
        <w:tabs>
          <w:tab w:leader="none" w:pos="743"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representation and warranty shall not apply to any statements or omissions made in reliance upon and in conformity with information furnished in writing to the Company by the Underwriter expressly for use therein;</w:t>
      </w:r>
    </w:p>
    <w:p>
      <w:pPr>
        <w:spacing w:after="0" w:line="56" w:lineRule="exact"/>
        <w:rPr>
          <w:rFonts w:ascii="Arial" w:cs="Arial" w:eastAsia="Arial" w:hAnsi="Arial"/>
          <w:sz w:val="16"/>
          <w:szCs w:val="16"/>
          <w:color w:val="auto"/>
        </w:rPr>
      </w:pPr>
    </w:p>
    <w:p>
      <w:pPr>
        <w:ind w:right="320" w:firstLine="443"/>
        <w:spacing w:after="0" w:line="286" w:lineRule="auto"/>
        <w:tabs>
          <w:tab w:leader="none" w:pos="793"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of the Company and its subsidiaries, has been duly incorporated, organized or otherwise formed and is validly existing as a corporation, limited liability company, partnership or similar entity, in good standing under its jurisdiction of incorporation, organization, or similar formation, with power and authority to own its properties and conduct its business as described in the Pricing Disclosure Package and</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7" w:name="page8"/>
    <w:bookmarkEnd w:id="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and has been duly qualified as a foreign corporation for the transaction of business and is in good standing under the laws of each other jurisdiction in which it owns or leases properties or conducts any business so as to require such qualification, or is subject to no material liability or disability by reason of the failure to be so qualified in any such jurisdiction, except in each case as would not, individually or in the aggregate, have a material adverse effect on the financial position, stockholders’ equity, results of operations or prospects of the Company and its subsidiaries, taken as a whole (any such event, a “Material Adverse Effect”). Other than the subsidiaries listed on Schedule IV hereto, the Company does not have any subsidiaries;</w:t>
      </w:r>
    </w:p>
    <w:p>
      <w:pPr>
        <w:spacing w:after="0" w:line="85" w:lineRule="exact"/>
        <w:rPr>
          <w:sz w:val="20"/>
          <w:szCs w:val="20"/>
          <w:color w:val="auto"/>
        </w:rPr>
      </w:pPr>
    </w:p>
    <w:p>
      <w:pPr>
        <w:ind w:right="60" w:firstLine="443"/>
        <w:spacing w:after="0" w:line="273" w:lineRule="auto"/>
        <w:tabs>
          <w:tab w:leader="none" w:pos="84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each of the Pricing Disclosure Package and the Prospectus, and all of the issued shares of capital stock of the Company have been duly and validly authorized and issued and are fully paid and non-assessable. All of the issued shares of capital stock of each subsidiary of the Company have been duly and validly authorized and issued, are fully paid and non-assessable and are owned directly or indirectly by the Company (except for directors’ qualifying shares for foreign subsidiaries and except as set forth in each of the Pricing Disclosure Package and the Prospectus), free and clear of all liens, encumbrances, equities or claims, except for such liens, encumbrances, equities or claims as would not, individually or in the aggregate, reasonably be expected to have a Material Adverse Effect;</w:t>
      </w:r>
    </w:p>
    <w:p>
      <w:pPr>
        <w:spacing w:after="0" w:line="70" w:lineRule="exact"/>
        <w:rPr>
          <w:rFonts w:ascii="Arial" w:cs="Arial" w:eastAsia="Arial" w:hAnsi="Arial"/>
          <w:sz w:val="17"/>
          <w:szCs w:val="17"/>
          <w:color w:val="auto"/>
        </w:rPr>
      </w:pPr>
    </w:p>
    <w:p>
      <w:pPr>
        <w:ind w:right="20" w:firstLine="443"/>
        <w:spacing w:after="0" w:line="273" w:lineRule="auto"/>
        <w:tabs>
          <w:tab w:leader="none" w:pos="743"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all requisite corporate power to execute, deliver and perform its obligations under this Agreement and to consummate the transactions contemplated hereby. This Agreement has been duly and validly authorized, executed and delivered by the Company and, assuming due authorization, execution and delivery by the Selling Stockholders and Underwriter, will constitute the valid and binding agreement of the Company, enforceable against the Company in accordance with its terms, except as such enforceability may be limited by bankruptcy, fraudulent conveyance, insolvency, reorganization, moratorium, and other laws relating to or affecting creditors’ rights generally and by general equitable principles (regardless of whether such enforceability is considered in a proceeding in equity or at law);</w:t>
      </w:r>
    </w:p>
    <w:p>
      <w:pPr>
        <w:spacing w:after="0" w:line="70" w:lineRule="exact"/>
        <w:rPr>
          <w:rFonts w:ascii="Arial" w:cs="Arial" w:eastAsia="Arial" w:hAnsi="Arial"/>
          <w:sz w:val="17"/>
          <w:szCs w:val="17"/>
          <w:color w:val="auto"/>
        </w:rPr>
      </w:pPr>
    </w:p>
    <w:p>
      <w:pPr>
        <w:ind w:firstLine="443"/>
        <w:spacing w:after="0" w:line="290" w:lineRule="auto"/>
        <w:tabs>
          <w:tab w:leader="none" w:pos="69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this Agreement and the consummation of the transactions contemplated hereby, will not (i) conflict with or result in a breach or violation of any of the terms or provisions of, impose any lien, charge or encumbrance upon any property or assets of the Company or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(iii) result in any violation of any statute or any judgment, order, decree, rule or regulation of any court or governmental agency or body having jurisdiction over the Company or any of its subsidiaries or any of its properties or assets, except, with respect to clauses (i) and (iii), conflicts or violations that would not reasonably be expected to have a Material Adverse Effect;</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74" w:right="239" w:bottom="1440" w:gutter="0" w:footer="0" w:header="0"/>
        </w:sectPr>
      </w:pPr>
    </w:p>
    <w:bookmarkStart w:id="8" w:name="page9"/>
    <w:bookmarkEnd w:id="8"/>
    <w:p>
      <w:pPr>
        <w:ind w:left="740" w:hanging="297"/>
        <w:spacing w:after="0"/>
        <w:tabs>
          <w:tab w:leader="none" w:pos="740" w:val="left"/>
        </w:tabs>
        <w:numPr>
          <w:ilvl w:val="1"/>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its subsidiaries is (i) in violation of its certificate of incorporation or bylaws or other governing documents,</w:t>
      </w:r>
    </w:p>
    <w:p>
      <w:pPr>
        <w:spacing w:after="0" w:line="46" w:lineRule="exact"/>
        <w:rPr>
          <w:rFonts w:ascii="Arial" w:cs="Arial" w:eastAsia="Arial" w:hAnsi="Arial"/>
          <w:sz w:val="16"/>
          <w:szCs w:val="16"/>
          <w:color w:val="auto"/>
        </w:rPr>
      </w:pPr>
    </w:p>
    <w:p>
      <w:pPr>
        <w:ind w:right="60" w:firstLine="4"/>
        <w:spacing w:after="0" w:line="271" w:lineRule="auto"/>
        <w:tabs>
          <w:tab w:leader="none" w:pos="26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violation of any applicable statute, law, rule, regulation, judgment, order or decree of any court, regulatory body, administrative agency, governmental body, arbitrator or other authority having jurisdiction over it or any of its properties, or (iii) in default in the performance or observance of any obligation, covenant or condition contained in any indenture, mortgage, deed of trust, loan agreement, lease or other agreement or instrument to which it is a party or by which it or any of its properties may be bound except in the case of clause (ii) or (iii) for such defaults or violations which would not reasonably be expected to, individually or in the aggregate, have a Material Adverse Effect;</w:t>
      </w:r>
    </w:p>
    <w:p>
      <w:pPr>
        <w:spacing w:after="0" w:line="70" w:lineRule="exact"/>
        <w:rPr>
          <w:rFonts w:ascii="Arial" w:cs="Arial" w:eastAsia="Arial" w:hAnsi="Arial"/>
          <w:sz w:val="17"/>
          <w:szCs w:val="17"/>
          <w:color w:val="auto"/>
        </w:rPr>
      </w:pPr>
    </w:p>
    <w:p>
      <w:pPr>
        <w:ind w:firstLine="443"/>
        <w:spacing w:after="0" w:line="276" w:lineRule="auto"/>
        <w:tabs>
          <w:tab w:leader="none" w:pos="793" w:val="left"/>
        </w:tabs>
        <w:numPr>
          <w:ilvl w:val="1"/>
          <w:numId w:val="7"/>
        </w:numPr>
        <w:rPr>
          <w:rFonts w:ascii="Arial" w:cs="Arial" w:eastAsia="Arial" w:hAnsi="Arial"/>
          <w:sz w:val="17"/>
          <w:szCs w:val="17"/>
          <w:color w:val="auto"/>
        </w:rPr>
      </w:pPr>
      <w:r>
        <w:rPr>
          <w:rFonts w:ascii="Arial" w:cs="Arial" w:eastAsia="Arial" w:hAnsi="Arial"/>
          <w:sz w:val="17"/>
          <w:szCs w:val="17"/>
          <w:color w:val="auto"/>
        </w:rPr>
        <w:t>No consent, approval, authorization or order of, or filing, registration or qualification with any court or governmental agency or body having jurisdiction over the Company or any of its subsidiaries or any of its properties or assets is required for the execution, delivery and performance by the Company of this Agreement and the consummation of the transactions contemplated hereby, except for such consents, approvals, authorizations, orders, filings, registrations or qualifications as may be required under state securities laws or Blue Sky laws in connection with the purchase and distribution of the Common Stock by the Underwriter, which has been obtained and is in full force and effect;</w:t>
      </w:r>
    </w:p>
    <w:p>
      <w:pPr>
        <w:spacing w:after="0" w:line="64" w:lineRule="exact"/>
        <w:rPr>
          <w:rFonts w:ascii="Arial" w:cs="Arial" w:eastAsia="Arial" w:hAnsi="Arial"/>
          <w:sz w:val="17"/>
          <w:szCs w:val="17"/>
          <w:color w:val="auto"/>
        </w:rPr>
      </w:pPr>
    </w:p>
    <w:p>
      <w:pPr>
        <w:ind w:right="80" w:firstLine="443"/>
        <w:spacing w:after="0" w:line="302" w:lineRule="auto"/>
        <w:tabs>
          <w:tab w:leader="none" w:pos="843"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historical financial statements (including the related notes and supporting schedules) included or incorporated by reference in the Pricing Disclosure Package and the Prospectus present fairly in all material respects the financial condition, results of operations and cash flows of the entities purported to be shown thereby, at the dates and for the periods indicated, and have been prepared in conformity with accounting principles generally accepted in the United States (“GAAP”) applied on a consistent basis throughout the periods involved (except as otherwise noted therein);</w:t>
      </w:r>
    </w:p>
    <w:p>
      <w:pPr>
        <w:spacing w:after="0" w:line="46" w:lineRule="exact"/>
        <w:rPr>
          <w:rFonts w:ascii="Arial" w:cs="Arial" w:eastAsia="Arial" w:hAnsi="Arial"/>
          <w:sz w:val="16"/>
          <w:szCs w:val="16"/>
          <w:color w:val="auto"/>
        </w:rPr>
      </w:pPr>
    </w:p>
    <w:p>
      <w:pPr>
        <w:jc w:val="both"/>
        <w:ind w:firstLine="443"/>
        <w:spacing w:after="0" w:line="279" w:lineRule="auto"/>
        <w:tabs>
          <w:tab w:leader="none" w:pos="833" w:val="left"/>
        </w:tabs>
        <w:numPr>
          <w:ilvl w:val="1"/>
          <w:numId w:val="7"/>
        </w:numPr>
        <w:rPr>
          <w:rFonts w:ascii="Arial" w:cs="Arial" w:eastAsia="Arial" w:hAnsi="Arial"/>
          <w:sz w:val="17"/>
          <w:szCs w:val="17"/>
          <w:color w:val="auto"/>
        </w:rPr>
      </w:pPr>
      <w:r>
        <w:rPr>
          <w:rFonts w:ascii="Arial" w:cs="Arial" w:eastAsia="Arial" w:hAnsi="Arial"/>
          <w:sz w:val="17"/>
          <w:szCs w:val="17"/>
          <w:color w:val="auto"/>
        </w:rPr>
        <w:t>Samil PricewaterhouseCoopers, who have certified certain financial statements of the Company, whose report appears in the Pricing Disclosure Package and the Prospectus or is incorporated by reference therein and who have delivered the initial letter referred to in Section 8(e) hereof, are independent registered public accountants with respect to the Company and its subsidiaries within the meaning of the Act and the applicable rules and regulations adopted by the Commission and the Public Company Accounting Oversight Board;</w:t>
      </w:r>
    </w:p>
    <w:p>
      <w:pPr>
        <w:spacing w:after="0" w:line="63" w:lineRule="exact"/>
        <w:rPr>
          <w:rFonts w:ascii="Arial" w:cs="Arial" w:eastAsia="Arial" w:hAnsi="Arial"/>
          <w:sz w:val="17"/>
          <w:szCs w:val="17"/>
          <w:color w:val="auto"/>
        </w:rPr>
      </w:pPr>
    </w:p>
    <w:p>
      <w:pPr>
        <w:ind w:firstLine="443"/>
        <w:spacing w:after="0" w:line="287" w:lineRule="auto"/>
        <w:tabs>
          <w:tab w:leader="none" w:pos="783"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control over financial reporting (as such term is defined in Rule 13a-15(f) of the Exchange Act) that complies with the requirements of the Exchange Act and has been designed by the Company’s and its subsidiaries’ principal executive officers and principal financial officers, or under their supervision, to provide reasonable assurance regarding the reliability of financial reporting and the preparation of financial statements for external purposes in accordance with GAAP. The Company and each of its subsidiaries maintain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GAAP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Except as disclosed in the Exchange Act Reports, as of the date of the most recent balance sheet of the Company and its consolidated subsidiaries reviewed or audited by Samil PricewaterhouseCoopers and the audit committee of the board of directors of the Company (the “Audit Committee”), there were no material weaknesses in the Company’s internal controls;</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700" w:top="274" w:right="279" w:bottom="1440" w:gutter="0" w:footer="0" w:header="0"/>
        </w:sectPr>
      </w:pPr>
    </w:p>
    <w:bookmarkStart w:id="9" w:name="page10"/>
    <w:bookmarkEnd w:id="9"/>
    <w:p>
      <w:pPr>
        <w:ind w:right="40" w:firstLine="443"/>
        <w:spacing w:after="0" w:line="273" w:lineRule="auto"/>
        <w:tabs>
          <w:tab w:leader="none" w:pos="833"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The Company and each of its subsidiaries maintain disclosure controls and procedures (as such term is defined in Rule 13a-15(e) under the Exchange Act), (ii) such disclosure controls and procedures are designed to ensure that the information required to be disclosed by the Company and its subsidiaries in the reports they file or submit under the Exchange Act is accumulated and communicated to management of the Company and its subsidiaries, including their respective principal executive officers and principal financial officers, as appropriate, to allow timely decisions regarding required disclosure to be made; and (iii) except as disclosed in the Exchange Act Reports, such disclosure controls and procedures are effective in all material respects to perform the functions for which they were established;</w:t>
      </w:r>
    </w:p>
    <w:p>
      <w:pPr>
        <w:spacing w:after="0" w:line="70" w:lineRule="exact"/>
        <w:rPr>
          <w:rFonts w:ascii="Arial" w:cs="Arial" w:eastAsia="Arial" w:hAnsi="Arial"/>
          <w:sz w:val="17"/>
          <w:szCs w:val="17"/>
          <w:color w:val="auto"/>
        </w:rPr>
      </w:pPr>
    </w:p>
    <w:p>
      <w:pPr>
        <w:ind w:right="500" w:firstLine="443"/>
        <w:spacing w:after="0" w:line="286" w:lineRule="auto"/>
        <w:tabs>
          <w:tab w:leader="none" w:pos="883"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disclosed in the Pricing Disclosure Package, since the date of the latest audited financial statements included in the Pricing Disclosure Package and the Prospectus, there has been no change in the Company’s internal control over financial reporting that has materially affected, or is reasonably likely to materially affect, the Company’s internal control over financial reporting;</w:t>
      </w:r>
    </w:p>
    <w:p>
      <w:pPr>
        <w:spacing w:after="0" w:line="57" w:lineRule="exact"/>
        <w:rPr>
          <w:rFonts w:ascii="Arial" w:cs="Arial" w:eastAsia="Arial" w:hAnsi="Arial"/>
          <w:sz w:val="17"/>
          <w:szCs w:val="17"/>
          <w:color w:val="auto"/>
        </w:rPr>
      </w:pPr>
    </w:p>
    <w:p>
      <w:pPr>
        <w:ind w:right="220" w:firstLine="443"/>
        <w:spacing w:after="0" w:line="264" w:lineRule="auto"/>
        <w:tabs>
          <w:tab w:leader="none" w:pos="933"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disclosed in the Exchange Act Reports, there is and has been no failure on the part of the Company and any of the Company’s directors or officers, in their capacities as such, to comply with any provision of the Sarbanes-Oxley Act of 2002 and the rules and regulations promulgated in connection therewith, in any material respect;</w:t>
      </w:r>
    </w:p>
    <w:p>
      <w:pPr>
        <w:spacing w:after="0" w:line="73" w:lineRule="exact"/>
        <w:rPr>
          <w:rFonts w:ascii="Arial" w:cs="Arial" w:eastAsia="Arial" w:hAnsi="Arial"/>
          <w:sz w:val="18"/>
          <w:szCs w:val="18"/>
          <w:color w:val="auto"/>
        </w:rPr>
      </w:pPr>
    </w:p>
    <w:p>
      <w:pPr>
        <w:ind w:firstLine="443"/>
        <w:spacing w:after="0" w:line="269" w:lineRule="auto"/>
        <w:tabs>
          <w:tab w:leader="none" w:pos="833"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described in each of the Pricing Disclosure Package and the Prospectus (exclusive of any amendment or supplement thereto), since the date of the latest audited financial statements included or incorporated by reference in the Pricing Disclosure Package and the Prospectus, neither the Company nor any of its subsidiaries has (i) sustained any loss or interference with their business from fire, explosion, flood or other calamity, whether or not covered by insurance, or from any labor disturbance or dispute or court or governmental action, order or decree, (ii) issued or granted any securities, (iii) incurred any liability or obligation, direct or contingent, other than liabilities and obligations that were incurred in the ordinary course of business, (iv) entered into any transaction not in the ordinary course of business, and/or (v) declared or paid any dividend on its capital stock, and since such date, there has not been any change in the capital stock, partnership or limited liability company interests, as applicable (other than as a result of the grant or exercise of rights pursuant to equity based incentive plans or arrangements for directors, officers and employees of the Company or its subsidiaries disclosed in Exchange Act Reports), or long-term debt of the Company or any of its subsidiaries or any adverse change, or any development involving a prospective adverse change, in or affecting the condition (financial or otherwise), results of operations, stockholders’ equity, properties, management, business or prospects of the Company and its subsidiaries, taken as a whole, in each case except as could not, in the aggregate, reasonably be expected to have a Material Adverse Effect;</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74" w:right="239" w:bottom="1440" w:gutter="0" w:footer="0" w:header="0"/>
        </w:sectPr>
      </w:pPr>
    </w:p>
    <w:bookmarkStart w:id="10" w:name="page11"/>
    <w:bookmarkEnd w:id="10"/>
    <w:p>
      <w:pPr>
        <w:ind w:right="60" w:firstLine="443"/>
        <w:spacing w:after="0" w:line="255" w:lineRule="auto"/>
        <w:tabs>
          <w:tab w:leader="none" w:pos="783"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have good title to all real property and all personal property owned by them, in each case free and clear of all liens, encumbrances and defects except such as are described in the Pricing Disclosure Package and the Prospectus and except to the extent the failure to have such title or the existence of such liens, charges, encumbrances and restrictions would not, individually or in the aggregate, have a Material Adverse Effect;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85" w:lineRule="exact"/>
        <w:rPr>
          <w:rFonts w:ascii="Arial" w:cs="Arial" w:eastAsia="Arial" w:hAnsi="Arial"/>
          <w:sz w:val="18"/>
          <w:szCs w:val="18"/>
          <w:color w:val="auto"/>
        </w:rPr>
      </w:pPr>
    </w:p>
    <w:p>
      <w:pPr>
        <w:ind w:right="140" w:firstLine="443"/>
        <w:spacing w:after="0" w:line="291" w:lineRule="auto"/>
        <w:tabs>
          <w:tab w:leader="none" w:pos="83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each of its subsidiaries have such permits, licenses, patents, franchises, certificates of need and other approvals or authorizations of governmental or regulatory authorities (“Permits”) as are necessary under applicable law to own their properties and conduct their respective businesses in the manner described in the Pricing Disclosure Package and the Prospectus, except for any of the foregoing that would not, in the aggregate, reasonably be expected to have a Material Adverse Effect. Except as otherwise disclosed in the Pricing Disclosure Package and the Prospectus, each of the Company and its subsidiaries have fulfilled and performed all of its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w:t>
      </w:r>
    </w:p>
    <w:p>
      <w:pPr>
        <w:spacing w:after="0" w:line="59" w:lineRule="exact"/>
        <w:rPr>
          <w:rFonts w:ascii="Arial" w:cs="Arial" w:eastAsia="Arial" w:hAnsi="Arial"/>
          <w:sz w:val="16"/>
          <w:szCs w:val="16"/>
          <w:color w:val="auto"/>
        </w:rPr>
      </w:pPr>
    </w:p>
    <w:p>
      <w:pPr>
        <w:ind w:firstLine="443"/>
        <w:spacing w:after="0" w:line="270" w:lineRule="auto"/>
        <w:tabs>
          <w:tab w:leader="none" w:pos="88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and each of its subsidiaries own or possess adequate rights to use all material patents, patent applications, trademarks, service marks, trade names, trademark registrations, service mark registrations, copyrights, inventions, methods, processes, know-how, software, systems and technology (including trade secrets and other unpatented and/or unpatentable proprietary or confidential information, systems or procedures) used in the conduct of their respective businesses without, to their knowledge, infringing, misappropriating or otherwise violating the rights of others except where the infringement, misappropriation or other violation would not reasonably be expected to have a Material Adverse Effect. Each of the Company and its subsidiaries has no reason to believe that the conduct of their respective businesses will infringe, misappropriate or otherwise violate, and have not received any notice of any claim of any infringement, misappropriation or violation of, any proprietary rights of others that would reasonably be expected to have a Material Adverse Effect. Neither the Company nor any of its subsidiaries are aware of any material pending or threatened claim to the contrary or any material pending or threatened challenge by any other person to the rights of the Company or its subsidiaries with respect to any of the foregoing;</w:t>
      </w:r>
    </w:p>
    <w:p>
      <w:pPr>
        <w:spacing w:after="0" w:line="69" w:lineRule="exact"/>
        <w:rPr>
          <w:rFonts w:ascii="Arial" w:cs="Arial" w:eastAsia="Arial" w:hAnsi="Arial"/>
          <w:sz w:val="17"/>
          <w:szCs w:val="17"/>
          <w:color w:val="auto"/>
        </w:rPr>
      </w:pPr>
    </w:p>
    <w:p>
      <w:pPr>
        <w:ind w:right="60" w:firstLine="443"/>
        <w:spacing w:after="0" w:line="293" w:lineRule="auto"/>
        <w:tabs>
          <w:tab w:leader="none" w:pos="933"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Except as otherwise disclosed in the Pricing Disclosure Package and the Prospectus, there are no legal or governmental proceedings pending to which the Company or any of its subsidiaries are a party or of which any property or assets of the Company or any of its subsidiaries is the subject which, if determined adversely to the Company or any of its subsidiaries, would in the aggregate, reasonably be expected to have a Material Adverse Effect or would, in the aggregate, reasonably be expected to have a Material Adverse Effect on the performance by the Company of its obligations under this Agreement or the consummation of any of the transactions contemplated hereby, as applicable. To the Company’s knowledge, no such proceedings are threatened or contemplated by governmental authorities or threatened by others;</w:t>
      </w:r>
    </w:p>
    <w:p>
      <w:pPr>
        <w:spacing w:after="0" w:line="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11" w:name="page12"/>
    <w:bookmarkEnd w:id="11"/>
    <w:p>
      <w:pPr>
        <w:ind w:left="920" w:hanging="477"/>
        <w:spacing w:after="0"/>
        <w:tabs>
          <w:tab w:leader="none" w:pos="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for such matters as would not reasonably be expected to have a Material Adverse Effect, the Company and each of its subsidiaries</w:t>
      </w:r>
    </w:p>
    <w:p>
      <w:pPr>
        <w:spacing w:after="0" w:line="46" w:lineRule="exact"/>
        <w:rPr>
          <w:rFonts w:ascii="Arial" w:cs="Arial" w:eastAsia="Arial" w:hAnsi="Arial"/>
          <w:sz w:val="16"/>
          <w:szCs w:val="16"/>
          <w:color w:val="auto"/>
        </w:rPr>
      </w:pPr>
    </w:p>
    <w:p>
      <w:pPr>
        <w:ind w:right="20" w:firstLine="4"/>
        <w:spacing w:after="0" w:line="285" w:lineRule="auto"/>
        <w:tabs>
          <w:tab w:leader="none" w:pos="2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(“Environmental Laws”) applicable to such entity, which compliance includes, without limitation, obtaining, maintaining and complying with all permits and authorizations and approvals required by Environmental Laws to conduct its businesses, and (ii) have not received notice or otherwise has knowledge of any actual or alleged violation of Environmental Laws, or of any actual or potential liability for or other obligation concerning the presence, disposal or release of hazardous or toxic substances or wastes, pollutants or contaminants. Except as described in the Pricing Disclosure Package and the Prospectus and except for such matters as would not reasonably be expected to have a Material Adverse Effect, (x) there are no proceedings that are pending, or known to be contemplated, against the Company or any of its subsidiaries under Environmental Laws in which a governmental authority is also a party, other than such proceedings regarding which it is reasonably believed no monetary sanctions of $100,000 or more will be imposed and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w:t>
      </w:r>
    </w:p>
    <w:p>
      <w:pPr>
        <w:spacing w:after="0" w:line="278" w:lineRule="exact"/>
        <w:rPr>
          <w:rFonts w:ascii="Arial" w:cs="Arial" w:eastAsia="Arial" w:hAnsi="Arial"/>
          <w:sz w:val="16"/>
          <w:szCs w:val="16"/>
          <w:color w:val="auto"/>
        </w:rPr>
      </w:pPr>
    </w:p>
    <w:p>
      <w:pPr>
        <w:ind w:firstLine="443"/>
        <w:spacing w:after="0" w:line="290" w:lineRule="auto"/>
        <w:tabs>
          <w:tab w:leader="none" w:pos="873" w:val="left"/>
        </w:tabs>
        <w:numPr>
          <w:ilvl w:val="1"/>
          <w:numId w:val="11"/>
        </w:numPr>
        <w:rPr>
          <w:rFonts w:ascii="Arial" w:cs="Arial" w:eastAsia="Arial" w:hAnsi="Arial"/>
          <w:sz w:val="16"/>
          <w:szCs w:val="16"/>
          <w:color w:val="auto"/>
        </w:rPr>
      </w:pPr>
      <w:r>
        <w:rPr>
          <w:rFonts w:ascii="Arial" w:cs="Arial" w:eastAsia="Arial" w:hAnsi="Arial"/>
          <w:sz w:val="16"/>
          <w:szCs w:val="16"/>
          <w:color w:val="auto"/>
        </w:rPr>
        <w:t>Except as described in the Pricing Disclosure Package and the Prospectus, the Company and each of its subsidiaries have filed all U.S. federal and other state and local and non-U.S. tax returns required to be filed through the date hereof, subject to permitted extensions, and have paid all taxes due and payable, other than those being contested in good faith and for which adequate reserves have been established in accordance with GAAP or those currently payable without penalty or interest or where the failure to file or pay would not, individually or in the aggregate, reasonably be expected to have a Material Adverse Effect. No tax deficiency has been determined adversely to the Company or any of its subsidiaries except those tax assessments for which adequate reserves have been established in accordance with GAAP or where the failure to pay such assessments would not, individually or in the aggregate, reasonably be expected to have a Material Adverse Effect. The Company and its subsidiaries do not have any knowledge of any tax deficiencies that would, individually or in the aggregate, reasonably be expected to have a Material Adverse Effect;</w:t>
      </w:r>
    </w:p>
    <w:p>
      <w:pPr>
        <w:spacing w:after="0" w:line="58" w:lineRule="exact"/>
        <w:rPr>
          <w:rFonts w:ascii="Arial" w:cs="Arial" w:eastAsia="Arial" w:hAnsi="Arial"/>
          <w:sz w:val="16"/>
          <w:szCs w:val="16"/>
          <w:color w:val="auto"/>
        </w:rPr>
      </w:pPr>
    </w:p>
    <w:p>
      <w:pPr>
        <w:jc w:val="both"/>
        <w:ind w:right="140" w:firstLine="443"/>
        <w:spacing w:after="0" w:line="312" w:lineRule="auto"/>
        <w:tabs>
          <w:tab w:leader="none" w:pos="923"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is not, and after the execution, delivery and performance of its obligations under this Agreement and the consummation of any of the transactions contemplated hereby will not be, an “investment company” or a company “controlled” by an “investment company” within the meaning of the Investment Company Act of 1940, as amended, and the rules and regulations of the Commission thereunder;</w:t>
      </w:r>
    </w:p>
    <w:p>
      <w:pPr>
        <w:spacing w:after="0" w:line="38" w:lineRule="exact"/>
        <w:rPr>
          <w:rFonts w:ascii="Arial" w:cs="Arial" w:eastAsia="Arial" w:hAnsi="Arial"/>
          <w:sz w:val="16"/>
          <w:szCs w:val="16"/>
          <w:color w:val="auto"/>
        </w:rPr>
      </w:pPr>
    </w:p>
    <w:p>
      <w:pPr>
        <w:ind w:firstLine="443"/>
        <w:spacing w:after="0" w:line="264" w:lineRule="auto"/>
        <w:tabs>
          <w:tab w:leader="none" w:pos="97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sale or resale of the Shares;</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2" w:name="page13"/>
    <w:bookmarkEnd w:id="12"/>
    <w:p>
      <w:pPr>
        <w:ind w:firstLine="443"/>
        <w:spacing w:after="0" w:line="270" w:lineRule="auto"/>
        <w:tabs>
          <w:tab w:leader="none" w:pos="1023" w:val="left"/>
        </w:tabs>
        <w:numPr>
          <w:ilvl w:val="1"/>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of its subsidiaries, nor, to the knowledge of the Company, any director, officer, agent, employee or other person associated with or acting on behalf of the Company or any of its subsidiaries, has in the course of their actions for, or on behalf of, the Company or any of its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“FCPA”)) or domestic government official; or (iii) violated or is in violation of any provision of the FCPA, the Bribery Act 2010 of the United Kingdom, as amended (the “Bribery Act 2010”), or any other applicable anti-bribery statute or regulation. The Company and its subsidiaries and, to the knowledge of the Company, the Company’s affiliates, have conducted their respective businesses in compliance with the FCPA, Bribery Act 2010, and all other applicable anti-corruption and anti-bribery statutes and regulations, and have instituted and maintain policies and procedures designed to ensure, and which are reasonably expected to ensure, continued compliance therewith;</w:t>
      </w:r>
    </w:p>
    <w:p>
      <w:pPr>
        <w:spacing w:after="0" w:line="69" w:lineRule="exact"/>
        <w:rPr>
          <w:rFonts w:ascii="Arial" w:cs="Arial" w:eastAsia="Arial" w:hAnsi="Arial"/>
          <w:sz w:val="17"/>
          <w:szCs w:val="17"/>
          <w:color w:val="auto"/>
        </w:rPr>
      </w:pPr>
    </w:p>
    <w:p>
      <w:pPr>
        <w:ind w:right="60" w:firstLine="443"/>
        <w:spacing w:after="0" w:line="273" w:lineRule="auto"/>
        <w:tabs>
          <w:tab w:leader="none" w:pos="923"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the rules and regulations thereunder and any related or similar rules, regulations or guidelines, that have been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70" w:lineRule="exact"/>
        <w:rPr>
          <w:rFonts w:ascii="Arial" w:cs="Arial" w:eastAsia="Arial" w:hAnsi="Arial"/>
          <w:sz w:val="17"/>
          <w:szCs w:val="17"/>
          <w:color w:val="auto"/>
        </w:rPr>
      </w:pPr>
    </w:p>
    <w:p>
      <w:pPr>
        <w:ind w:right="160" w:firstLine="443"/>
        <w:spacing w:after="0" w:line="286" w:lineRule="auto"/>
        <w:tabs>
          <w:tab w:leader="none" w:pos="873" w:val="left"/>
        </w:tabs>
        <w:numPr>
          <w:ilvl w:val="1"/>
          <w:numId w:val="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after due inquiry, any director, officer, agent, employee or affiliate of the Company or any of its subsidiaries is (i) currently subject to or the target of any sanctions administered or enforced by the Office of Foreign Assets Control of the U.S. Treasury Department (“OFAC”), the U.S. Department of State, the United Nations Security Council (“UNSC”), the European Union (“EU”), Her Majesty’s Treasury (“HMT”), or other relevant sanctions authority (collectively, “Sanctions”); or</w:t>
      </w:r>
    </w:p>
    <w:p>
      <w:pPr>
        <w:spacing w:after="0" w:line="1" w:lineRule="exact"/>
        <w:rPr>
          <w:rFonts w:ascii="Arial" w:cs="Arial" w:eastAsia="Arial" w:hAnsi="Arial"/>
          <w:sz w:val="16"/>
          <w:szCs w:val="16"/>
          <w:color w:val="auto"/>
        </w:rPr>
      </w:pPr>
    </w:p>
    <w:p>
      <w:pPr>
        <w:ind w:right="300" w:firstLine="4"/>
        <w:spacing w:after="0" w:line="254"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or target of Sanctions (including, without limitation, Cuba, Iran, North Korea, Sudan, Syria, and Crimea). The Company and its subsidiaries have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81" w:lineRule="exact"/>
        <w:rPr>
          <w:rFonts w:ascii="Arial" w:cs="Arial" w:eastAsia="Arial" w:hAnsi="Arial"/>
          <w:sz w:val="18"/>
          <w:szCs w:val="18"/>
          <w:color w:val="auto"/>
        </w:rPr>
      </w:pPr>
    </w:p>
    <w:p>
      <w:pPr>
        <w:ind w:right="100" w:firstLine="443"/>
        <w:spacing w:after="0" w:line="259" w:lineRule="auto"/>
        <w:tabs>
          <w:tab w:leader="none" w:pos="923"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section entitled “Management’s Discussion and Analysis of Financial Condition and Results of Operations – Critical Accounting Policies and Estimates” in the most recent Company quarterly report incorporated by reference in the Pricing Disclosure Package and the Prospectus accurately and fully describes (i) the accounting policies that the Company is the most important in the portrayal of the Company’s financial condition and results of operations and that require management’s</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most difficult, subjective or complex judgments; (ii) the judgments and uncertainties affecting the application of critical accounting policies; and</w:t>
      </w:r>
    </w:p>
    <w:p>
      <w:pPr>
        <w:spacing w:after="0" w:line="35" w:lineRule="exact"/>
        <w:rPr>
          <w:sz w:val="20"/>
          <w:szCs w:val="20"/>
          <w:color w:val="auto"/>
        </w:rPr>
      </w:pPr>
    </w:p>
    <w:p>
      <w:pPr>
        <w:ind w:right="320" w:firstLine="4"/>
        <w:spacing w:after="0" w:line="261"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likelihood that materially different amounts would be reported under different conditions or using different assumptions and an explanation thereof;</w:t>
      </w:r>
    </w:p>
    <w:p>
      <w:pPr>
        <w:spacing w:after="0" w:line="75" w:lineRule="exact"/>
        <w:rPr>
          <w:rFonts w:ascii="Arial" w:cs="Arial" w:eastAsia="Arial" w:hAnsi="Arial"/>
          <w:sz w:val="18"/>
          <w:szCs w:val="18"/>
          <w:color w:val="auto"/>
        </w:rPr>
      </w:pPr>
    </w:p>
    <w:p>
      <w:pPr>
        <w:ind w:firstLine="443"/>
        <w:spacing w:after="0" w:line="273" w:lineRule="auto"/>
        <w:tabs>
          <w:tab w:leader="none" w:pos="973"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There are no contracts or other documents that would be required to be described in a registration statement filed under the Act or filed as exhibits to a registration statement of the Company pursuant to Item 601(10) of Regulation S-K that have not been described in the Pricing Disclosure Package and the Prospectus. The statements made in the Pricing Disclosure Package and the Prospectus, insofar as they purport to constitute summaries of the terms of the contracts and other documents that are so described, constitute accurate summaries of the terms of such contracts and documents in all material respects. Neither the Company nor any of its subsidiaries has knowledge that any other party to any such contract or other document has any intention not to render full performance as contemplated by the terms thereof;</w:t>
      </w:r>
    </w:p>
    <w:p>
      <w:pPr>
        <w:spacing w:after="0" w:line="70" w:lineRule="exact"/>
        <w:rPr>
          <w:rFonts w:ascii="Arial" w:cs="Arial" w:eastAsia="Arial" w:hAnsi="Arial"/>
          <w:sz w:val="17"/>
          <w:szCs w:val="17"/>
          <w:color w:val="auto"/>
        </w:rPr>
      </w:pPr>
    </w:p>
    <w:p>
      <w:pPr>
        <w:ind w:right="60" w:firstLine="443"/>
        <w:spacing w:after="0" w:line="259" w:lineRule="auto"/>
        <w:tabs>
          <w:tab w:leader="none" w:pos="1023"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 material relationship, direct or indirect, that would be required to be described in a registration statement of the Company pursuant to Item 404 of Regulation S-K, exists between or among the Company and its subsidiaries, on the one hand, and the directors, officers, stockholders, customers or suppliers of the Company and its subsidiaries, on the other hand, that has not been described in the Pricing Disclosure Package and the Prospectus;</w:t>
      </w:r>
    </w:p>
    <w:p>
      <w:pPr>
        <w:spacing w:after="0" w:line="78" w:lineRule="exact"/>
        <w:rPr>
          <w:rFonts w:ascii="Arial" w:cs="Arial" w:eastAsia="Arial" w:hAnsi="Arial"/>
          <w:sz w:val="18"/>
          <w:szCs w:val="18"/>
          <w:color w:val="auto"/>
        </w:rPr>
      </w:pPr>
    </w:p>
    <w:p>
      <w:pPr>
        <w:ind w:right="540" w:firstLine="443"/>
        <w:spacing w:after="0" w:line="277" w:lineRule="auto"/>
        <w:tabs>
          <w:tab w:leader="none" w:pos="10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 labor disturbance by or dispute with the employees of the Company or any of its subsidiaries exists or, to the knowledge of the Company, is imminent that would reasonably be expected to have a Material Adverse Effect;</w:t>
      </w:r>
    </w:p>
    <w:p>
      <w:pPr>
        <w:spacing w:after="0" w:line="62" w:lineRule="exact"/>
        <w:rPr>
          <w:rFonts w:ascii="Arial" w:cs="Arial" w:eastAsia="Arial" w:hAnsi="Arial"/>
          <w:sz w:val="18"/>
          <w:szCs w:val="18"/>
          <w:color w:val="auto"/>
        </w:rPr>
      </w:pPr>
    </w:p>
    <w:p>
      <w:pPr>
        <w:jc w:val="both"/>
        <w:ind w:right="260" w:firstLine="443"/>
        <w:spacing w:after="0" w:line="342" w:lineRule="auto"/>
        <w:tabs>
          <w:tab w:leader="none" w:pos="963"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None of the transactions contemplated by this Agreement, will violate or result in a violation of Section 7 of the Exchange Act, or any regulation promulgated thereunder, including, without limitation, Regulations T, U and X of the Board of Governors of the Federal Reserve System;</w:t>
      </w:r>
    </w:p>
    <w:p>
      <w:pPr>
        <w:spacing w:after="0" w:line="15" w:lineRule="exact"/>
        <w:rPr>
          <w:rFonts w:ascii="Arial" w:cs="Arial" w:eastAsia="Arial" w:hAnsi="Arial"/>
          <w:sz w:val="16"/>
          <w:szCs w:val="16"/>
          <w:color w:val="auto"/>
        </w:rPr>
      </w:pPr>
    </w:p>
    <w:p>
      <w:pPr>
        <w:ind w:right="100" w:firstLine="443"/>
        <w:spacing w:after="0" w:line="259" w:lineRule="auto"/>
        <w:tabs>
          <w:tab w:leader="none" w:pos="10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and each of its subsidiaries carry, or are covered by, insurance from insurers of recognized financial responsibility in such amounts and covering such risks as the Company and its subsidiaries reasonably believe is adequate for the conduct of its businesses and the value of its properties and as is customary for companies engaged in similar businesses in similar industries and except where the failure to carry or maintain such insurance would not, in the aggregate, have a Material Adverse Effect;</w:t>
      </w:r>
    </w:p>
    <w:p>
      <w:pPr>
        <w:spacing w:after="0" w:line="78" w:lineRule="exact"/>
        <w:rPr>
          <w:rFonts w:ascii="Arial" w:cs="Arial" w:eastAsia="Arial" w:hAnsi="Arial"/>
          <w:sz w:val="18"/>
          <w:szCs w:val="18"/>
          <w:color w:val="auto"/>
        </w:rPr>
      </w:pPr>
    </w:p>
    <w:p>
      <w:pPr>
        <w:ind w:right="40" w:firstLine="443"/>
        <w:spacing w:after="0" w:line="272" w:lineRule="auto"/>
        <w:tabs>
          <w:tab w:leader="none" w:pos="1063" w:val="left"/>
        </w:tabs>
        <w:numPr>
          <w:ilvl w:val="1"/>
          <w:numId w:val="14"/>
        </w:numPr>
        <w:rPr>
          <w:rFonts w:ascii="Arial" w:cs="Arial" w:eastAsia="Arial" w:hAnsi="Arial"/>
          <w:sz w:val="17"/>
          <w:szCs w:val="17"/>
          <w:color w:val="auto"/>
        </w:rPr>
      </w:pPr>
      <w:r>
        <w:rPr>
          <w:rFonts w:ascii="Arial" w:cs="Arial" w:eastAsia="Arial" w:hAnsi="Arial"/>
          <w:sz w:val="17"/>
          <w:szCs w:val="17"/>
          <w:color w:val="auto"/>
        </w:rPr>
        <w:t>(i) Each “employee benefit plan” (within the meaning of Section 3(3) of the Employee Retirement Security Act of 1974, as amended (“ERISA”)) for which the Company or any member of its “Controlled Group” (defined as any organization which is a member of a controlled group of corporations within the meaning of Section 414 of the Internal Revenue Code of 1986, as amended (the “Code”)) would have any liability (each a “Plan”)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and except as would not reasonably be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4" w:right="259" w:bottom="1440" w:gutter="0" w:footer="0" w:header="0"/>
        </w:sectPr>
      </w:pPr>
    </w:p>
    <w:bookmarkStart w:id="14" w:name="page15"/>
    <w:bookmarkEnd w:id="1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expected to have a Material Adverse Effect, (A) no “reportable event” (within the meaning of Section 4043(c) of ERISA) has occurred or is reasonably expected to occur, (B) no “accumulated funding deficiency” (within the meaning of Section 302 of ERISA or Section 412 of the Code), whether or not waived, has occurred or is reasonably expected to occur, (C) the fair market value of the assets under each Plan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whether by action or by failure to act, which would cause the loss of such qualification;</w:t>
      </w:r>
    </w:p>
    <w:p>
      <w:pPr>
        <w:spacing w:after="0" w:line="58" w:lineRule="exact"/>
        <w:rPr>
          <w:sz w:val="20"/>
          <w:szCs w:val="20"/>
          <w:color w:val="auto"/>
        </w:rPr>
      </w:pPr>
    </w:p>
    <w:p>
      <w:pPr>
        <w:ind w:right="80" w:firstLine="443"/>
        <w:spacing w:after="0" w:line="302" w:lineRule="auto"/>
        <w:tabs>
          <w:tab w:leader="none" w:pos="1113"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subsidiary of the Company is currently prohibited, directly or indirectly, from paying any dividends to the Company, from making any other distribution on such subsidiary’s capital stock or other ownership interests, from repaying to the Company any loans or advances to such subsidiary from the Company or from transferring any of such subsidiary’s property or assets to the Company or any other subsidiary of the Company, except as described in the Pricing Disclosure Package and the Prospectus or as otherwise required by applicable law;</w:t>
      </w:r>
    </w:p>
    <w:p>
      <w:pPr>
        <w:spacing w:after="0" w:line="46" w:lineRule="exact"/>
        <w:rPr>
          <w:rFonts w:ascii="Arial" w:cs="Arial" w:eastAsia="Arial" w:hAnsi="Arial"/>
          <w:sz w:val="16"/>
          <w:szCs w:val="16"/>
          <w:color w:val="auto"/>
        </w:rPr>
      </w:pPr>
    </w:p>
    <w:p>
      <w:pPr>
        <w:ind w:firstLine="443"/>
        <w:spacing w:after="0" w:line="264" w:lineRule="auto"/>
        <w:tabs>
          <w:tab w:leader="none" w:pos="10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statistical and market-related data included or incorporated by reference in the Pricing Disclosure Package and the Prospectus are based on or derived from sources that the Company believes to be reliable in all material respects. The Company has obtained the written consent to the use of such data from such sources to the extent required;</w:t>
      </w:r>
    </w:p>
    <w:p>
      <w:pPr>
        <w:spacing w:after="0" w:line="73"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(xl)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any securities being registered pursuant to any registration statement filed by the Company under the Act except as disclosed in the Pricing Disclosure Package and the Prospectus;</w:t>
      </w:r>
    </w:p>
    <w:p>
      <w:pPr>
        <w:spacing w:after="0" w:line="79" w:lineRule="exact"/>
        <w:rPr>
          <w:sz w:val="20"/>
          <w:szCs w:val="20"/>
          <w:color w:val="auto"/>
        </w:rPr>
      </w:pPr>
    </w:p>
    <w:p>
      <w:pPr>
        <w:jc w:val="both"/>
        <w:ind w:right="20" w:firstLine="438"/>
        <w:spacing w:after="0" w:line="264" w:lineRule="auto"/>
        <w:rPr>
          <w:sz w:val="20"/>
          <w:szCs w:val="20"/>
          <w:color w:val="auto"/>
        </w:rPr>
      </w:pPr>
      <w:r>
        <w:rPr>
          <w:rFonts w:ascii="Arial" w:cs="Arial" w:eastAsia="Arial" w:hAnsi="Arial"/>
          <w:sz w:val="18"/>
          <w:szCs w:val="18"/>
          <w:color w:val="auto"/>
        </w:rPr>
        <w:t>(xli) Neither the Company nor any of its subsidiaries is a party to any written contract or agreement with any person (other than this Agreement) that could give rise to a valid claim against any of them or the Underwriter for a brokerage commission, finder’s fee or like payment in connection with the sale or resale of the Shares;</w:t>
      </w:r>
    </w:p>
    <w:p>
      <w:pPr>
        <w:spacing w:after="0" w:line="73" w:lineRule="exact"/>
        <w:rPr>
          <w:sz w:val="20"/>
          <w:szCs w:val="20"/>
          <w:color w:val="auto"/>
        </w:rPr>
      </w:pPr>
    </w:p>
    <w:p>
      <w:pPr>
        <w:ind w:right="100" w:firstLine="438"/>
        <w:spacing w:after="0" w:line="259" w:lineRule="auto"/>
        <w:rPr>
          <w:sz w:val="20"/>
          <w:szCs w:val="20"/>
          <w:color w:val="auto"/>
        </w:rPr>
      </w:pPr>
      <w:r>
        <w:rPr>
          <w:rFonts w:ascii="Arial" w:cs="Arial" w:eastAsia="Arial" w:hAnsi="Arial"/>
          <w:sz w:val="18"/>
          <w:szCs w:val="18"/>
          <w:color w:val="auto"/>
        </w:rPr>
        <w:t>(xlii) Neither the Company nor any of its subsidiaries is in violation of or has received notice of any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could reasonably be expected to have a Material Adverse Effect;</w:t>
      </w:r>
    </w:p>
    <w:p>
      <w:pPr>
        <w:spacing w:after="0" w:line="79" w:lineRule="exact"/>
        <w:rPr>
          <w:sz w:val="20"/>
          <w:szCs w:val="20"/>
          <w:color w:val="auto"/>
        </w:rPr>
      </w:pPr>
    </w:p>
    <w:p>
      <w:pPr>
        <w:ind w:firstLine="438"/>
        <w:spacing w:after="0" w:line="264" w:lineRule="auto"/>
        <w:rPr>
          <w:sz w:val="20"/>
          <w:szCs w:val="20"/>
          <w:color w:val="auto"/>
        </w:rPr>
      </w:pPr>
      <w:r>
        <w:rPr>
          <w:rFonts w:ascii="Arial" w:cs="Arial" w:eastAsia="Arial" w:hAnsi="Arial"/>
          <w:sz w:val="18"/>
          <w:szCs w:val="18"/>
          <w:color w:val="auto"/>
        </w:rPr>
        <w:t>(xliii) The statements set forth in each of the Pricing Disclosure Package and the Prospectus under the caption “Material U.S. Federal Income Tax Consequences For Non-U.S. Holders,” insofar as they purport to summarize legal matters or documents referred to therein, are accurate summaries in all material respects.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5" w:name="page16"/>
    <w:bookmarkEnd w:id="15"/>
    <w:p>
      <w:pPr>
        <w:ind w:left="460" w:right="180" w:firstLine="438"/>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(xliv) Any certificate signed by any officer of the Company and delivered to the Underwriter or counsel for the Underwriter in connection with the sale or resale of the Shares shall be deemed a representation and warranty by the Company, as to matters covered thereby, to the Underwriter; and</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(xlv) The Company is not a “shell company” as described in Rule 144(i) under the Act.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Each of the Selling Stockholders severally, and not jointly, represents and warrants to, and agrees with, each of the Underwriter and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left="460" w:firstLine="443"/>
        <w:spacing w:after="0" w:line="255" w:lineRule="auto"/>
        <w:tabs>
          <w:tab w:leader="none" w:pos="11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for such consents, approvals, authorizations and orders as have been obtained and made under the Act or from FINRA and such as may be required under state securities laws, all consents, approvals, authorizations and orders necessary for the execution and delivery by such Selling Stockholder of this Agreement and the Power of Attorney and the Custody Agreement hereinafter referred to, and for the sale and delivery of the Shares to be sold by such Selling Stockholder hereunder, have been obtained; and such Selling Stockholder has full right, power and authority to enter into this Agreement, the Power of Attorney and the Custody Agreement and to sell, assign, transfer and deliver the Shares to be sold by such Selling Stockholder hereunder;</w:t>
      </w:r>
    </w:p>
    <w:p>
      <w:pPr>
        <w:spacing w:after="0" w:line="85" w:lineRule="exact"/>
        <w:rPr>
          <w:rFonts w:ascii="Arial" w:cs="Arial" w:eastAsia="Arial" w:hAnsi="Arial"/>
          <w:sz w:val="18"/>
          <w:szCs w:val="18"/>
          <w:color w:val="auto"/>
        </w:rPr>
      </w:pPr>
    </w:p>
    <w:p>
      <w:pPr>
        <w:ind w:left="460" w:right="220" w:firstLine="443"/>
        <w:spacing w:after="0" w:line="286" w:lineRule="auto"/>
        <w:tabs>
          <w:tab w:leader="none" w:pos="116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respect to Shares placed in custody by each Selling Stockholder with the Custodian (as defined below), the Custody Agreement is enforceable against such Selling Stockholder in accordance with its terms, subject, as to enforceability, to bankruptcy, insolvency, reorganization and similar laws of general applicability relating to or affecting creditors’ rights and to general equity principles;</w:t>
      </w:r>
    </w:p>
    <w:p>
      <w:pPr>
        <w:spacing w:after="0" w:line="57" w:lineRule="exact"/>
        <w:rPr>
          <w:rFonts w:ascii="Arial" w:cs="Arial" w:eastAsia="Arial" w:hAnsi="Arial"/>
          <w:sz w:val="17"/>
          <w:szCs w:val="17"/>
          <w:color w:val="auto"/>
        </w:rPr>
      </w:pPr>
    </w:p>
    <w:p>
      <w:pPr>
        <w:ind w:left="460" w:right="20" w:firstLine="443"/>
        <w:spacing w:after="0" w:line="269" w:lineRule="auto"/>
        <w:tabs>
          <w:tab w:leader="none" w:pos="121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sale of the Shares by such Selling Stockholder hereunder and the compliance by such Selling Stockholder with all of the provisions of this Agreement, the Power of Attorney and the Custody Agreement applicable to such Selling Stockholder and the consummation by such Selling Stockholder of the transactions herein and therein contemplated will not (a) conflict with or result in a breach or violation of any of the terms or provisions of, or constitute a default under, (1) any statute to which such Selling Stockholder is subject, (2) any indenture, mortgage, deed of trust, loan agreement or other agreement or instrument to which such Selling Stockholder is a party or by which such Selling Stockholder is bound or to which any of the property or assets of such Selling Stockholder is subject, nor (b) will such action result in (1) any violation of the provisions of the organizational documents of such Selling Stockholder or (2) any statute applicable to such Selling Stockholder or any order, rule or regulation of any court or governmental agency or body having jurisdiction over such Selling Stockholder or the property of such Selling Stockholder, except, in the case of (a) or (b)(2) above, for such conflicts, breaches, violations or defaults as would not, individually or in the aggregate, have a material adverse effect on the ability of such Selling Stockholder to consummate the transactions contemplated by this Agreement or perform any of its respective obligations under this Agreement, the Power of Attorney or the Custody Agreement;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6" w:name="page17"/>
    <w:bookmarkEnd w:id="16"/>
    <w:p>
      <w:pPr>
        <w:ind w:right="60" w:firstLine="443"/>
        <w:spacing w:after="0" w:line="293" w:lineRule="auto"/>
        <w:tabs>
          <w:tab w:leader="none" w:pos="743"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Selling Stockholder has, and immediately prior to the Time of Delivery (as hereinafter defined) such Selling Stockholder will have, good and valid title to the Shares to be sold by such Selling Stockholder hereunder, free and clear of all liens, encumbrances, equities or claims, except for liens, encumbrances, equities or claims created by this Agreement, the Custody Agreement and the Power of Attorney, in each case to which such Selling Stockholder is a party; and, upon delivery of such Shares and payment therefor pursuant hereto, good and valid title to such Shares, free and clear of all liens, encumbrances, equities or claims, will pass to the Underwriter, except for liens, encumbrances, equities or claims created by this Agreement, the Custody Agreement and the Power of Attorney, in each case to which such Selling Stockholder is a party;</w:t>
      </w:r>
    </w:p>
    <w:p>
      <w:pPr>
        <w:spacing w:after="0" w:line="56" w:lineRule="exact"/>
        <w:rPr>
          <w:rFonts w:ascii="Arial" w:cs="Arial" w:eastAsia="Arial" w:hAnsi="Arial"/>
          <w:sz w:val="16"/>
          <w:szCs w:val="16"/>
          <w:color w:val="auto"/>
        </w:rPr>
      </w:pPr>
    </w:p>
    <w:p>
      <w:pPr>
        <w:ind w:right="60" w:firstLine="443"/>
        <w:spacing w:after="0" w:line="264" w:lineRule="auto"/>
        <w:tabs>
          <w:tab w:leader="none" w:pos="6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Selling Stockholder has not taken and will not take, directly or indirectly, any action which is designed to or which has constituted or which would reasonably be expected to cause or result in stabilization or manipulation of the price of any security of the Company to facilitate the sale or resale of the Shares;</w:t>
      </w:r>
    </w:p>
    <w:p>
      <w:pPr>
        <w:spacing w:after="0" w:line="73" w:lineRule="exact"/>
        <w:rPr>
          <w:rFonts w:ascii="Arial" w:cs="Arial" w:eastAsia="Arial" w:hAnsi="Arial"/>
          <w:sz w:val="18"/>
          <w:szCs w:val="18"/>
          <w:color w:val="auto"/>
        </w:rPr>
      </w:pPr>
    </w:p>
    <w:p>
      <w:pPr>
        <w:ind w:right="100" w:firstLine="443"/>
        <w:spacing w:after="0" w:line="288" w:lineRule="auto"/>
        <w:tabs>
          <w:tab w:leader="none" w:pos="74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the extent that any statements or omissions made in the Registration Statement, the Pricing Prospectus, any Preliminary Prospectus, the Prospectus or any amendment or supplement thereto are made in reliance upon and in conformity with such Selling Stockholder’s Information (as defined below), such Selling Stockholder Information contained therein will not contain any untrue statement of a material fact or omit to state any material fact required to be stated therein or necessary to make the statements therein not misleading in respect of such Selling Stockholder’s Information. For purposes of this Agreement, with respect to each Selling Stockholder, “Selling Stockholder’s Information” shall mean any written information furnished to the Company by such Selling Stockholder expressly for use in the Registration Statement, the Pricing Prospectus, any Preliminary Prospectus, the Prospectus or any amendment or supplement thereto or any Issuer Free Writing Prospectus, it being understood that the only such information furnished by each Selling Stockholder consists of the statements contained with respect to such Selling Stockholder under the caption “Selling Stockholders.” The Selling Stockholders are not prompted to sell Shares by any material information concerning the Company which is not set forth in the Registration Statement, the Time of Sale Prospectus and the Prospectus;</w:t>
      </w:r>
    </w:p>
    <w:p>
      <w:pPr>
        <w:spacing w:after="0" w:line="61" w:lineRule="exact"/>
        <w:rPr>
          <w:rFonts w:ascii="Arial" w:cs="Arial" w:eastAsia="Arial" w:hAnsi="Arial"/>
          <w:sz w:val="16"/>
          <w:szCs w:val="16"/>
          <w:color w:val="auto"/>
        </w:rPr>
      </w:pPr>
    </w:p>
    <w:p>
      <w:pPr>
        <w:ind w:right="140" w:firstLine="443"/>
        <w:spacing w:after="0" w:line="264" w:lineRule="auto"/>
        <w:tabs>
          <w:tab w:leader="none" w:pos="7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Selling Stockholder will deliver to you prior to or at the Time of Delivery (as hereinafter defined) a properly completed and executed United States Treasury Department Form W-9 or W-8, as applicable, establishing an exemption from U.S. backup withholding (or other applicable form or statement specified by Treasury Department regulations in lieu thereof);</w:t>
      </w:r>
    </w:p>
    <w:p>
      <w:pPr>
        <w:spacing w:after="0" w:line="73" w:lineRule="exact"/>
        <w:rPr>
          <w:rFonts w:ascii="Arial" w:cs="Arial" w:eastAsia="Arial" w:hAnsi="Arial"/>
          <w:sz w:val="18"/>
          <w:szCs w:val="18"/>
          <w:color w:val="auto"/>
        </w:rPr>
      </w:pPr>
    </w:p>
    <w:p>
      <w:pPr>
        <w:ind w:firstLine="443"/>
        <w:spacing w:after="0" w:line="271" w:lineRule="auto"/>
        <w:tabs>
          <w:tab w:leader="none" w:pos="8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Shares to be sold by such Selling Stockholder hereunder have been placed in custody under the Custody Agreement, in the form heretofore furnished to you (the “Custody Agreement”), duly executed and delivered by such Selling Stockholder to American Stock Transfer &amp; Trust Company, LLC, as custodian (the “Custodian”), and such Selling Stockholder has duly executed and delivered a Power of Attorney, in the form heretofore furnished to you (the “Power of Attorney”), appointing the persons indicated in Schedule I hereto, and each of them, as such Selling Stockholder’s attorneys-in-fact (the “Attorneys-in-Fact”) with authority to execute and deliver this Agreement on behalf of such Selling Stockholder, to determine the purchase price to be paid by the Underwriter to the Selling Stockholders as provided in Section 2 hereof to authorize the delivery of the Shares to be sold by such Selling Stockholder hereunder and otherwise to act on behalf of such Selling Stockholder in connection with the transactions contemplated by this Agreement and the Custody Agreement;</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74" w:right="279" w:bottom="1440" w:gutter="0" w:footer="0" w:header="0"/>
        </w:sectPr>
      </w:pPr>
    </w:p>
    <w:bookmarkStart w:id="17" w:name="page18"/>
    <w:bookmarkEnd w:id="17"/>
    <w:p>
      <w:pPr>
        <w:ind w:firstLine="443"/>
        <w:spacing w:after="0" w:line="287" w:lineRule="auto"/>
        <w:tabs>
          <w:tab w:leader="none" w:pos="743"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held in custody for such Selling Stockholder under the Custody Agreement are subject to the interests of the Underwriter hereunder; the arrangements made by such Selling Stockholder for such custody, and the appointment by such Selling Stockholder of the Attorneys-in-Fact by the Power of Attorney, are to that extent irrevocable; the obligations of such Selling Stockholder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limited liability company or corporation, by the dissolution of such partnership, limited liability company or corporation, or by the occurrence of any other event; if any individual Selling Stockholder or any such executor or trustee should die or become incapacitated, or if any such estate or trust should be terminated, or if any such partnership, limited liability company or corporation should be dissolved, or if any other such event should occur, before the delivery of the Shares hereunder, the Shares to be sold by such Selling Stockholder shall be delivered by or on behalf of such Selling Stockholder in accordance with the terms and conditions of this Agreement and of the Custody Agreements;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60" w:lineRule="exact"/>
        <w:rPr>
          <w:rFonts w:ascii="Arial" w:cs="Arial" w:eastAsia="Arial" w:hAnsi="Arial"/>
          <w:sz w:val="16"/>
          <w:szCs w:val="16"/>
          <w:color w:val="auto"/>
        </w:rPr>
      </w:pPr>
    </w:p>
    <w:p>
      <w:pPr>
        <w:ind w:right="40" w:firstLine="443"/>
        <w:spacing w:after="0" w:line="276" w:lineRule="auto"/>
        <w:tabs>
          <w:tab w:leader="none" w:pos="693"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Each of the Selling Stockholders is not (1) an employee benefit plan subject to Title I of the Employee Retirement Income Security Act of 1974, as amended (“ERISA”), (2) a plan or account subject to Section 4975 of the Internal Revenue Code of 1986, as amended or (3) an entity deemed to hold “plan assets” of any such plan or account under Section 3(42) of ERISA, 29 C.F.R. 2510.3-101,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this representation and warranty shall not apply to Avenue Entrust Customized Portfolio SPC on behalf of and for the account of Avenue US Europe Distressed Segregated Portfolio (“Avenue Entrust”), as a Selling Stockholder hereto;</w:t>
      </w:r>
    </w:p>
    <w:p>
      <w:pPr>
        <w:spacing w:after="0" w:line="64" w:lineRule="exact"/>
        <w:rPr>
          <w:rFonts w:ascii="Arial" w:cs="Arial" w:eastAsia="Arial" w:hAnsi="Arial"/>
          <w:sz w:val="17"/>
          <w:szCs w:val="17"/>
          <w:color w:val="auto"/>
        </w:rPr>
      </w:pPr>
    </w:p>
    <w:p>
      <w:pPr>
        <w:ind w:right="160" w:firstLine="443"/>
        <w:spacing w:after="0" w:line="297" w:lineRule="auto"/>
        <w:tabs>
          <w:tab w:leader="none" w:pos="7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Avenue Entrust is (1) an employee benefit plan subject to Title I of the Employee Retirement Income Security Act of 1974, as amended (“ERISA”), (2) a plan or account subject to Section 4975 of the Internal Revenue Code of 1986 (the “Code”) or (3) an entity deemed to hold “plan assets” of any such plan or account, and hereby represents and warrants, solely for purposes of assisting the Underwriter in relying on the exception from fiduciary status under U.S. Department of Labor Regulations set forth in Section 29 CFR 2510.3-21(c)(1), that a fiduciary acting on its behalf is causing Avenue Entrust to enter into this Agreement and the transactions contemplated hereby and that such fiduciary:</w:t>
      </w:r>
    </w:p>
    <w:p>
      <w:pPr>
        <w:spacing w:after="0" w:line="50" w:lineRule="exact"/>
        <w:rPr>
          <w:rFonts w:ascii="Arial" w:cs="Arial" w:eastAsia="Arial" w:hAnsi="Arial"/>
          <w:sz w:val="16"/>
          <w:szCs w:val="16"/>
          <w:color w:val="auto"/>
        </w:rPr>
      </w:pPr>
    </w:p>
    <w:p>
      <w:pPr>
        <w:ind w:left="640" w:hanging="179"/>
        <w:spacing w:after="0"/>
        <w:tabs>
          <w:tab w:leader="none" w:pos="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an entity specified in Section 29 CFR 2510.3-21(c)(1)(i)(A)-(E);</w:t>
      </w:r>
    </w:p>
    <w:p>
      <w:pPr>
        <w:spacing w:after="0" w:line="117" w:lineRule="exact"/>
        <w:rPr>
          <w:rFonts w:ascii="Arial" w:cs="Arial" w:eastAsia="Arial" w:hAnsi="Arial"/>
          <w:sz w:val="18"/>
          <w:szCs w:val="18"/>
          <w:color w:val="auto"/>
        </w:rPr>
      </w:pPr>
    </w:p>
    <w:p>
      <w:pPr>
        <w:ind w:left="660" w:hanging="199"/>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independent (for purposes of Section 29 CFR 2510.3-21(c)(1)) of the Underwriter;</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74" w:right="279" w:bottom="1440" w:gutter="0" w:footer="0" w:header="0"/>
        </w:sectPr>
      </w:pPr>
    </w:p>
    <w:bookmarkStart w:id="18" w:name="page19"/>
    <w:bookmarkEnd w:id="18"/>
    <w:p>
      <w:pPr>
        <w:ind w:left="460" w:right="200" w:firstLine="1"/>
        <w:spacing w:after="0" w:line="277" w:lineRule="auto"/>
        <w:tabs>
          <w:tab w:leader="none" w:pos="645" w:val="left"/>
        </w:tabs>
        <w:numPr>
          <w:ilvl w:val="2"/>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capable of evaluating investment risks independently, both in general and with regard to particular transactions and investment strategies, including the Avenue Entrust’s transactions with the Underwriter hereunder;</w:t>
      </w:r>
    </w:p>
    <w:p>
      <w:pPr>
        <w:spacing w:after="0" w:line="62" w:lineRule="exact"/>
        <w:rPr>
          <w:rFonts w:ascii="Arial" w:cs="Arial" w:eastAsia="Arial" w:hAnsi="Arial"/>
          <w:sz w:val="18"/>
          <w:szCs w:val="18"/>
          <w:color w:val="auto"/>
        </w:rPr>
      </w:pPr>
    </w:p>
    <w:p>
      <w:pPr>
        <w:ind w:left="460" w:right="220" w:firstLine="1"/>
        <w:spacing w:after="0" w:line="264" w:lineRule="auto"/>
        <w:tabs>
          <w:tab w:leader="none" w:pos="655" w:val="left"/>
        </w:tabs>
        <w:numPr>
          <w:ilvl w:val="2"/>
          <w:numId w:val="19"/>
        </w:numPr>
        <w:rPr>
          <w:rFonts w:ascii="Arial" w:cs="Arial" w:eastAsia="Arial" w:hAnsi="Arial"/>
          <w:sz w:val="18"/>
          <w:szCs w:val="18"/>
          <w:color w:val="auto"/>
        </w:rPr>
      </w:pPr>
      <w:r>
        <w:rPr>
          <w:rFonts w:ascii="Arial" w:cs="Arial" w:eastAsia="Arial" w:hAnsi="Arial"/>
          <w:sz w:val="18"/>
          <w:szCs w:val="18"/>
          <w:color w:val="auto"/>
        </w:rPr>
        <w:t>Has been advised that, with respect to the Underwriter, neither the Underwriter nor any of its respective affiliates has undertaken or will undertake to provide impartial investment advice, or has given or will give advice in a fiduciary capacity, in connection with Avenue Entrust’s transactions with the Underwriter contemplated hereby;</w:t>
      </w:r>
    </w:p>
    <w:p>
      <w:pPr>
        <w:spacing w:after="0" w:line="73" w:lineRule="exact"/>
        <w:rPr>
          <w:rFonts w:ascii="Arial" w:cs="Arial" w:eastAsia="Arial" w:hAnsi="Arial"/>
          <w:sz w:val="18"/>
          <w:szCs w:val="18"/>
          <w:color w:val="auto"/>
        </w:rPr>
      </w:pPr>
    </w:p>
    <w:p>
      <w:pPr>
        <w:ind w:left="460" w:right="100" w:firstLine="1"/>
        <w:spacing w:after="0" w:line="342" w:lineRule="auto"/>
        <w:tabs>
          <w:tab w:leader="none" w:pos="645" w:val="left"/>
        </w:tabs>
        <w:numPr>
          <w:ilvl w:val="2"/>
          <w:numId w:val="19"/>
        </w:numPr>
        <w:rPr>
          <w:rFonts w:ascii="Arial" w:cs="Arial" w:eastAsia="Arial" w:hAnsi="Arial"/>
          <w:sz w:val="16"/>
          <w:szCs w:val="16"/>
          <w:color w:val="auto"/>
        </w:rPr>
      </w:pPr>
      <w:r>
        <w:rPr>
          <w:rFonts w:ascii="Arial" w:cs="Arial" w:eastAsia="Arial" w:hAnsi="Arial"/>
          <w:sz w:val="16"/>
          <w:szCs w:val="16"/>
          <w:color w:val="auto"/>
        </w:rPr>
        <w:t>Is a “fiduciary” under Section 3(21)(a) of ERISA or Section 4975(e)(3) of the Code, or both, as applicable, with respect to, and is responsible for exercising independent judgment in evaluating, Avenue Entrust’s transactions with the Underwriter contemplated hereby; and</w:t>
      </w:r>
    </w:p>
    <w:p>
      <w:pPr>
        <w:spacing w:after="0" w:line="15" w:lineRule="exact"/>
        <w:rPr>
          <w:rFonts w:ascii="Arial" w:cs="Arial" w:eastAsia="Arial" w:hAnsi="Arial"/>
          <w:sz w:val="16"/>
          <w:szCs w:val="16"/>
          <w:color w:val="auto"/>
        </w:rPr>
      </w:pPr>
    </w:p>
    <w:p>
      <w:pPr>
        <w:ind w:left="460" w:right="140" w:firstLine="1"/>
        <w:spacing w:after="0" w:line="293" w:lineRule="auto"/>
        <w:tabs>
          <w:tab w:leader="none" w:pos="625" w:val="left"/>
        </w:tabs>
        <w:numPr>
          <w:ilvl w:val="2"/>
          <w:numId w:val="19"/>
        </w:numPr>
        <w:rPr>
          <w:rFonts w:ascii="Arial" w:cs="Arial" w:eastAsia="Arial" w:hAnsi="Arial"/>
          <w:sz w:val="16"/>
          <w:szCs w:val="16"/>
          <w:color w:val="auto"/>
        </w:rPr>
      </w:pPr>
      <w:r>
        <w:rPr>
          <w:rFonts w:ascii="Arial" w:cs="Arial" w:eastAsia="Arial" w:hAnsi="Arial"/>
          <w:sz w:val="16"/>
          <w:szCs w:val="16"/>
          <w:color w:val="auto"/>
        </w:rPr>
        <w:t>Understands and acknowledges the existence and nature of the underwriting discounts, commissions and fees, and any other related fees, compensation arrangements or financial interests, described in the Pricing Disclosure Package and the Prospectus; and understands, acknowledges and agrees that no such fee or other compensation is a fee or other compensation for the provision of investment advice, and that neither the Underwriter nor any of its respective affiliates, nor any of their respective directors, officers, members, partners, employees, principals or agents has received or will receive a fee or other compensation from Avenue Entrust or such fiduciary for the provision of investment advice (rather than other services) in connection with Avenue Entrust’s transactions with the Underwriter contemplated hereby; and</w:t>
      </w:r>
    </w:p>
    <w:p>
      <w:pPr>
        <w:spacing w:after="0" w:line="56" w:lineRule="exact"/>
        <w:rPr>
          <w:rFonts w:ascii="Arial" w:cs="Arial" w:eastAsia="Arial" w:hAnsi="Arial"/>
          <w:sz w:val="16"/>
          <w:szCs w:val="16"/>
          <w:color w:val="auto"/>
        </w:rPr>
      </w:pPr>
    </w:p>
    <w:p>
      <w:pPr>
        <w:ind w:firstLine="443"/>
        <w:spacing w:after="0" w:line="283" w:lineRule="auto"/>
        <w:tabs>
          <w:tab w:leader="none" w:pos="793" w:val="left"/>
        </w:tabs>
        <w:numPr>
          <w:ilvl w:val="1"/>
          <w:numId w:val="20"/>
        </w:numPr>
        <w:rPr>
          <w:rFonts w:ascii="Arial" w:cs="Arial" w:eastAsia="Arial" w:hAnsi="Arial"/>
          <w:sz w:val="16"/>
          <w:szCs w:val="16"/>
          <w:color w:val="auto"/>
        </w:rPr>
      </w:pPr>
      <w:r>
        <w:rPr>
          <w:rFonts w:ascii="Arial" w:cs="Arial" w:eastAsia="Arial" w:hAnsi="Arial"/>
          <w:sz w:val="16"/>
          <w:szCs w:val="16"/>
          <w:color w:val="auto"/>
        </w:rPr>
        <w:t>Upon payment of the purchase price for the Shares to be sold by the Selling Stockholders pursuant to this Agreement, delivery of such Shares, as directed by the Underwriter, to Cede &amp; Co. (“Cede”) or such other nominee as may be designated by The Depository Trust Company (“DTC”), registration of such Shares in the name of Cede or such other nominee, and the crediting of such Shares on the books of DTC to securities accounts (within the meaning of Section 8-501(a) of the UCC) of the Underwriter (assuming that neither DTC nor the Underwriter has notice of any “adverse claim,” within the meaning of Section 8-105 of the Uniform Commercial Code then in effect in the State of New York (“UCC”), to such Shares), (A) under Section 8-501 of the UCC, the Underwriter will acquire a valid “security entitlement” in respect of such Shares and (B) no action (whether framed in conversion, replevin, constructive trust, equitable lien, or other theory) based on any “adverse claim,” within the meaning of Section 8-102 of the UCC, to such Shares may be asserted against the Underwriter with respect to such security entitlement; for purposes of this representation, the Selling Stockholder may assume that when such payment, delivery (if necessary) and crediting occur, (I) such Shares will have been registered in the name of Cede or another nominee designated by DTC, in each case on the Company’s share registry in accordance with its certificate of incorporation, bylaws and applicable law, (II) DTC will be registered as a “clearing corporation,” within the meaning of Section 8-102 of the UCC,</w:t>
      </w:r>
    </w:p>
    <w:p>
      <w:pPr>
        <w:spacing w:after="0" w:line="4" w:lineRule="exact"/>
        <w:rPr>
          <w:rFonts w:ascii="Arial" w:cs="Arial" w:eastAsia="Arial" w:hAnsi="Arial"/>
          <w:sz w:val="16"/>
          <w:szCs w:val="16"/>
          <w:color w:val="auto"/>
        </w:rPr>
      </w:pPr>
    </w:p>
    <w:p>
      <w:pPr>
        <w:ind w:right="80" w:firstLine="4"/>
        <w:spacing w:after="0" w:line="254" w:lineRule="auto"/>
        <w:tabs>
          <w:tab w:leader="none" w:pos="3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appropriate entries to the account of the Underwriter on the records of DTC will have been made pursuant to the UCC, (IV) to the extent DTC, or any other securities intermediary which acts as “clearing corporation” with respect to the Shares, maintains any “financial asset” (as defined in Section 8-102(a)(9) of the UCC in a clearing corporation pursuant to Section 8-111 of the UCC, the rules of such clearing corporation may affect the rights of</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700" w:top="274" w:right="279" w:bottom="1440" w:gutter="0" w:footer="0" w:header="0"/>
        </w:sectPr>
      </w:pPr>
    </w:p>
    <w:bookmarkStart w:id="19" w:name="page20"/>
    <w:bookmarkEnd w:id="19"/>
    <w:p>
      <w:pPr>
        <w:ind w:left="420"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DTC or such securities intermediaries and the ownership interest of the Underwriter, (V) claims of creditors of DTC or any other securities intermediary or clearing corporation may be given priority to the extent set forth in Section 8-511(b) and 8-511(c) of the UCC and (VI) if at any time DTC or other securities intermediary does not have sufficient Shares to satisfy claims of all of its entitlement holders with respect thereto then all holders will share pro rata in the Shares then held by DTC or such securities intermediary.</w:t>
      </w:r>
    </w:p>
    <w:p>
      <w:pPr>
        <w:spacing w:after="0" w:line="79" w:lineRule="exact"/>
        <w:rPr>
          <w:sz w:val="20"/>
          <w:szCs w:val="20"/>
          <w:color w:val="auto"/>
        </w:rPr>
      </w:pPr>
    </w:p>
    <w:p>
      <w:pPr>
        <w:jc w:val="both"/>
        <w:ind w:left="-40" w:right="80" w:firstLine="464"/>
        <w:spacing w:after="0" w:line="264" w:lineRule="auto"/>
        <w:tabs>
          <w:tab w:leader="none" w:pos="5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the terms and conditions herein set forth, each of the Selling Stockholders agrees, severally and not jointly, to sell to the Underwriter, and the Underwriter agrees to purchase from each of the Selling Stockholders, at a purchase price per Share of $10.98, the number of Shares as set forth opposite their respective names in Schedule I hereto.</w:t>
      </w:r>
    </w:p>
    <w:p>
      <w:pPr>
        <w:spacing w:after="0" w:line="73" w:lineRule="exact"/>
        <w:rPr>
          <w:rFonts w:ascii="Arial" w:cs="Arial" w:eastAsia="Arial" w:hAnsi="Arial"/>
          <w:sz w:val="18"/>
          <w:szCs w:val="18"/>
          <w:color w:val="auto"/>
        </w:rPr>
      </w:pPr>
    </w:p>
    <w:p>
      <w:pPr>
        <w:ind w:left="-40" w:right="220" w:firstLine="464"/>
        <w:spacing w:after="0" w:line="277" w:lineRule="auto"/>
        <w:tabs>
          <w:tab w:leader="none" w:pos="5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Shares, the Underwriter proposes to offer the Shares for sale upon the terms and conditions set forth in the Prospectus.</w:t>
      </w:r>
    </w:p>
    <w:p>
      <w:pPr>
        <w:spacing w:after="0" w:line="62" w:lineRule="exact"/>
        <w:rPr>
          <w:rFonts w:ascii="Arial" w:cs="Arial" w:eastAsia="Arial" w:hAnsi="Arial"/>
          <w:sz w:val="18"/>
          <w:szCs w:val="18"/>
          <w:color w:val="auto"/>
        </w:rPr>
      </w:pPr>
    </w:p>
    <w:p>
      <w:pPr>
        <w:ind w:left="-40" w:firstLine="464"/>
        <w:spacing w:after="0" w:line="255" w:lineRule="auto"/>
        <w:tabs>
          <w:tab w:leader="none" w:pos="5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The Shares to be purchased by the Underwriter hereunder, in book-entry form, and in such authorized denominations and registered in such names as the Underwriter may request upon at least forty-eight hours’ prior notice to the Selling Stockholders shall be delivered by or on behalf of the Selling Stockholders to the Underwriter, through the facilities of the Depository Trust Company (“DTC”), for the account of the Underwriter, against payment by or on behalf of the Underwriter of the purchase price therefor by wire transfer of Federal (same-day) funds to the account specified by the Custodian to the Underwriter at least forty-eight hours in advance. The time and date of such delivery and payment shall be 9:30 a.m., New York time, on August 15, 2017 or such other time and date as the Underwriter and the Attorneys-in-Fact may agree upon in writing. Such time and date for delivery of the Shares is herein called the “Time of Delivery.”</w:t>
      </w:r>
    </w:p>
    <w:p>
      <w:pPr>
        <w:spacing w:after="0" w:line="81" w:lineRule="exact"/>
        <w:rPr>
          <w:sz w:val="20"/>
          <w:szCs w:val="20"/>
          <w:color w:val="auto"/>
        </w:rPr>
      </w:pPr>
    </w:p>
    <w:p>
      <w:pPr>
        <w:ind w:left="-40" w:firstLine="464"/>
        <w:spacing w:after="0" w:line="254" w:lineRule="auto"/>
        <w:tabs>
          <w:tab w:leader="none" w:pos="67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documents to be delivered at the Time of Delivery by or on behalf of the parties hereto pursuant to Section 8 hereof, including the cross receipt for the Shares and any additional documents requested by the Underwriter pursuant to Section 8(m) hereof, will be delivered at the offices of Latham &amp; Watkins LLP, 885 Third Avenue, New York, New York 10022-4834 (the “Closing Location”), and the Shares will be delivered at the Designated Office, all at the Time of Delivery. A meeting will be held at the Closing Location at noon, New York City time, on the New York Business Day next preceding the Time of Delivery, or such other time and place as the parties shall agree, at which meeting the final drafts of the documents to be delivered pursuant to the preceding sentence will be available for review by the parties hereto. For the purposes of this Agreement, “New York Business Day” shall mean each Monday, Tuesday, Wednesday, Thursday and Friday which is not a day on which banking institutions in New York City are generally authorized or obligated by law or executive order to close.</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 The Company agrees with the Underwriter:</w:t>
      </w:r>
    </w:p>
    <w:p>
      <w:pPr>
        <w:spacing w:after="0" w:line="117" w:lineRule="exact"/>
        <w:rPr>
          <w:sz w:val="20"/>
          <w:szCs w:val="20"/>
          <w:color w:val="auto"/>
        </w:rPr>
      </w:pPr>
    </w:p>
    <w:p>
      <w:pPr>
        <w:ind w:left="-40" w:right="140" w:firstLine="464"/>
        <w:spacing w:after="0" w:line="257" w:lineRule="auto"/>
        <w:tabs>
          <w:tab w:leader="none" w:pos="66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prepare the Prospectus in a form approved by you and to file such Prospectus pursuant to Rule 424(b) under the Act not later than the Commission’s close of business on the second business day following the execution and delivery of this Agreement or such earlier time as may be required under the Act; to make no further amendment or any supplement to the Registration Statement, the Base Prospectus or the Prospectus prior to the Time of Delivery which shall be disapproved by you promptly after reasonable notice thereof (in each case, other than due to the filing of a periodic report under the Exchange Act required by the rules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80" w:top="274" w:right="279" w:bottom="1440" w:gutter="0" w:footer="0" w:header="0"/>
        </w:sectPr>
      </w:pPr>
    </w:p>
    <w:bookmarkStart w:id="20" w:name="page21"/>
    <w:bookmarkEnd w:id="2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regulations of the Commission thereunder); to advise you and each of the Selling Stockholders, promptly after it receives notice thereof, of the time when any amendment to the Registration Statement has been filed or becomes effective or any amendment or supplement to the Prospectus has been filed and to furnish you and each of the Selling Stockholders with copies thereof; to file promptly all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you and the Selling Stockholders,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any notice from the Commission objecting to the use of the form of Registration Statement or any post-effective supplement thereto,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80" w:lineRule="exact"/>
        <w:rPr>
          <w:sz w:val="20"/>
          <w:szCs w:val="20"/>
          <w:color w:val="auto"/>
        </w:rPr>
      </w:pPr>
    </w:p>
    <w:p>
      <w:pPr>
        <w:ind w:firstLine="464"/>
        <w:spacing w:after="0" w:line="257" w:lineRule="auto"/>
        <w:tabs>
          <w:tab w:leader="none" w:pos="7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or to subject itself to taxation in any such jurisdiction in which it is not otherwise subject to taxation;</w:t>
      </w:r>
    </w:p>
    <w:p>
      <w:pPr>
        <w:spacing w:after="0" w:line="80" w:lineRule="exact"/>
        <w:rPr>
          <w:rFonts w:ascii="Arial" w:cs="Arial" w:eastAsia="Arial" w:hAnsi="Arial"/>
          <w:sz w:val="18"/>
          <w:szCs w:val="18"/>
          <w:color w:val="auto"/>
        </w:rPr>
      </w:pPr>
    </w:p>
    <w:p>
      <w:pPr>
        <w:ind w:firstLine="464"/>
        <w:spacing w:after="0" w:line="286" w:lineRule="auto"/>
        <w:tabs>
          <w:tab w:leader="none" w:pos="7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Prior to 10:00 a.m., New York City time, on the second New York Business Day next succeeding the date of this Agreement and from time to time, to furnish the Underwriter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the Underwriter and to any dealer in securities as many written and electronic copies as you may from time to time reasonably request of an amended Prospectus or a supplement to the Prospectus which will correct such statement or omission or effect such compliance; and in case the Underwriter is required to deliver a prospectus (or in lieu thereof, the notice referred to in Rule 173(a) under the Act) in connection with sales of any of the Shares at any time nine months or more after the time of issue of the Prospectus, upon your request but at your expense, to prepare and deliver to the Underwriter as many written and electronic copies as you may request of an amended or supplemented Prospectus complying with Section 10(a)(3) of the Act;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1" w:name="page22"/>
    <w:bookmarkEnd w:id="21"/>
    <w:p>
      <w:pPr>
        <w:ind w:left="-20" w:right="40" w:firstLine="464"/>
        <w:spacing w:after="0" w:line="259" w:lineRule="auto"/>
        <w:tabs>
          <w:tab w:leader="none" w:pos="691"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make generally available to its securityholders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 under the Act);</w:t>
      </w:r>
    </w:p>
    <w:p>
      <w:pPr>
        <w:spacing w:after="0" w:line="78" w:lineRule="exact"/>
        <w:rPr>
          <w:rFonts w:ascii="Arial" w:cs="Arial" w:eastAsia="Arial" w:hAnsi="Arial"/>
          <w:sz w:val="18"/>
          <w:szCs w:val="18"/>
          <w:color w:val="auto"/>
        </w:rPr>
      </w:pPr>
    </w:p>
    <w:p>
      <w:pPr>
        <w:ind w:left="-20" w:right="20" w:firstLine="464"/>
        <w:spacing w:after="0" w:line="273" w:lineRule="auto"/>
        <w:tabs>
          <w:tab w:leader="none" w:pos="681"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the period beginning from the date hereof and continuing to and including the date 45 days after the date of the Prospectus (the “Lock-Up Period”), not to offer, sell, contract to sell, pledge, grant any option to purchase, make any short sale or otherwise dispose, except as provided hereunder, of any securities of the Company that are substantially similar to the Shares or the Shares, including but not limited to any options or warrants to purchase shares of Common Stock or any securities that are convertible into or exchangeable for, or that represent the right to receive, Common Stock or any such substantially similar securities (other than pursuant to equity incentive plans existing on, or upon the conversion, exercise or exchange of securities outstanding as of, the date of this Agreement and), without your prior written consent;</w:t>
      </w:r>
    </w:p>
    <w:p>
      <w:pPr>
        <w:spacing w:after="0" w:line="70" w:lineRule="exact"/>
        <w:rPr>
          <w:rFonts w:ascii="Arial" w:cs="Arial" w:eastAsia="Arial" w:hAnsi="Arial"/>
          <w:sz w:val="17"/>
          <w:szCs w:val="17"/>
          <w:color w:val="auto"/>
        </w:rPr>
      </w:pPr>
    </w:p>
    <w:p>
      <w:pPr>
        <w:ind w:left="-20" w:right="260" w:firstLine="464"/>
        <w:spacing w:after="0" w:line="255" w:lineRule="auto"/>
        <w:tabs>
          <w:tab w:leader="none" w:pos="661"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required to provide documents that are available through the Commission’s Electronic Data Gathering, Analysis and Retrieval System (“EDGAR”);</w:t>
      </w:r>
    </w:p>
    <w:p>
      <w:pPr>
        <w:spacing w:after="0" w:line="85" w:lineRule="exact"/>
        <w:rPr>
          <w:rFonts w:ascii="Arial" w:cs="Arial" w:eastAsia="Arial" w:hAnsi="Arial"/>
          <w:sz w:val="18"/>
          <w:szCs w:val="18"/>
          <w:color w:val="auto"/>
        </w:rPr>
      </w:pPr>
    </w:p>
    <w:p>
      <w:pPr>
        <w:ind w:left="-20" w:firstLine="464"/>
        <w:spacing w:after="0" w:line="293" w:lineRule="auto"/>
        <w:tabs>
          <w:tab w:leader="none" w:pos="691"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During a period of three years from the effective date of the Registration Statement,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provide documents that are available through EDGAR;</w:t>
      </w:r>
    </w:p>
    <w:p>
      <w:pPr>
        <w:spacing w:after="0" w:line="56" w:lineRule="exact"/>
        <w:rPr>
          <w:rFonts w:ascii="Arial" w:cs="Arial" w:eastAsia="Arial" w:hAnsi="Arial"/>
          <w:sz w:val="16"/>
          <w:szCs w:val="16"/>
          <w:color w:val="auto"/>
        </w:rPr>
      </w:pPr>
    </w:p>
    <w:p>
      <w:pPr>
        <w:ind w:left="700" w:hanging="2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use its commercially reasonable efforts to list or maintain the listing of the Shares on the New York Stock Exchange (the “NYSE”);</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10-Q or Form 10-K as may be required by Rule 463 under the 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74" w:right="239" w:bottom="1440" w:gutter="0" w:footer="0" w:header="0"/>
        </w:sectPr>
      </w:pPr>
    </w:p>
    <w:bookmarkStart w:id="22" w:name="page23"/>
    <w:bookmarkEnd w:id="22"/>
    <w:p>
      <w:pPr>
        <w:ind w:left="-60" w:right="60" w:firstLine="464"/>
        <w:spacing w:after="0" w:line="259" w:lineRule="auto"/>
        <w:tabs>
          <w:tab w:leader="none" w:pos="611"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 under the Act; and</w:t>
      </w:r>
    </w:p>
    <w:p>
      <w:pPr>
        <w:spacing w:after="0" w:line="78" w:lineRule="exact"/>
        <w:rPr>
          <w:rFonts w:ascii="Arial" w:cs="Arial" w:eastAsia="Arial" w:hAnsi="Arial"/>
          <w:sz w:val="18"/>
          <w:szCs w:val="18"/>
          <w:color w:val="auto"/>
        </w:rPr>
      </w:pPr>
    </w:p>
    <w:p>
      <w:pPr>
        <w:ind w:left="-60" w:firstLine="464"/>
        <w:spacing w:after="0" w:line="259" w:lineRule="auto"/>
        <w:tabs>
          <w:tab w:leader="none" w:pos="651"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Upon request of the Underwriter, to furnish, or cause to be furnished, to the Underwriter an electronic version of the Company’s trademarks, servicemarks and corporate logo for use on the website, if any, operated by the Underwriter for the purpose of facilitating the on-line offering of the Shares or the Shares (the “License”);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License shall be used solely for the purpose described above, is granted without any fee and may not be assigned or transferred.</w:t>
      </w:r>
    </w:p>
    <w:p>
      <w:pPr>
        <w:spacing w:after="0" w:line="79" w:lineRule="exact"/>
        <w:rPr>
          <w:sz w:val="20"/>
          <w:szCs w:val="20"/>
          <w:color w:val="auto"/>
        </w:rPr>
      </w:pPr>
    </w:p>
    <w:p>
      <w:pPr>
        <w:ind w:left="-60" w:right="240" w:firstLine="464"/>
        <w:spacing w:after="0" w:line="257" w:lineRule="auto"/>
        <w:tabs>
          <w:tab w:leader="none" w:pos="5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The Company and each of the Selling Stockholders, severally and not jointly, represents and agrees that, without your prior consent, it has not made and will not make any offer relating to the Shares that would constitute a “free writing prospectus” as defined in Rule 405 under the Act; the Underwriter represents and agrees that, without the prior consent of the Company, it has not made and will not make any offer relating to the Shares that would constitute a free writing prospectus; any such free writing prospectus the use of which has been consented to by you and the Company is listed on Schedule II(a) or Schedule II(b) hereto;</w:t>
      </w:r>
    </w:p>
    <w:p>
      <w:pPr>
        <w:spacing w:after="0" w:line="80" w:lineRule="exact"/>
        <w:rPr>
          <w:sz w:val="20"/>
          <w:szCs w:val="20"/>
          <w:color w:val="auto"/>
        </w:rPr>
      </w:pPr>
    </w:p>
    <w:p>
      <w:pPr>
        <w:ind w:left="-60" w:right="280" w:firstLine="464"/>
        <w:spacing w:after="0" w:line="277" w:lineRule="auto"/>
        <w:tabs>
          <w:tab w:leader="none" w:pos="6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Act applicable to any Issuer Free Writing Prospectus, including timely filing with the Commission or retention where required and legending; and</w:t>
      </w:r>
    </w:p>
    <w:p>
      <w:pPr>
        <w:spacing w:after="0" w:line="62" w:lineRule="exact"/>
        <w:rPr>
          <w:rFonts w:ascii="Arial" w:cs="Arial" w:eastAsia="Arial" w:hAnsi="Arial"/>
          <w:sz w:val="18"/>
          <w:szCs w:val="18"/>
          <w:color w:val="auto"/>
        </w:rPr>
      </w:pPr>
    </w:p>
    <w:p>
      <w:pPr>
        <w:ind w:left="-60" w:right="60" w:firstLine="464"/>
        <w:spacing w:after="0" w:line="254" w:lineRule="auto"/>
        <w:tabs>
          <w:tab w:leader="none" w:pos="641"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Company agrees that if at any time following issuance of an Issuer Free Writing Prospectus any event occurred or occurs as a result of which such Issuer Free Writing Prospectus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under which they were made, not misleading, the Company will give prompt notice thereof to the Underwriter and, if requested by the Underwriter, will prepare and furnish without charge to the Underwriter an Issuer Free Writing Prospectus or other document reasonably acceptable to the Underwriter which will correct such conflict, statement or omission;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representation and warranty shall not apply to any statements or omissions in an Issuer Free Writing Prospectus made in reliance upon and in conformity with information furnished in writing to the Company by the Underwriter expressly for use therein.</w:t>
      </w:r>
    </w:p>
    <w:p>
      <w:pPr>
        <w:spacing w:after="0" w:line="84" w:lineRule="exact"/>
        <w:rPr>
          <w:sz w:val="20"/>
          <w:szCs w:val="20"/>
          <w:color w:val="auto"/>
        </w:rPr>
      </w:pPr>
    </w:p>
    <w:p>
      <w:pPr>
        <w:ind w:left="-60" w:right="20" w:firstLine="464"/>
        <w:spacing w:after="0" w:line="270" w:lineRule="auto"/>
        <w:tabs>
          <w:tab w:leader="none" w:pos="57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covenants and agrees with the Underwriter and each of the Selling Stockholders that the Company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the Base Prospectus, any Preliminary Prospectus, any Issuer Free Writing Prospectus and the Prospectus and amendments and supplements thereto and the mailing and delivering of copies thereof to the Underwriter and dealers; (ii) the fees, charges and disbursements of one (1) firm of counsel to all of the Selling Stockholders selected by the holders of a majority of the Shares sold by the Selling Stockholders hereunder; (iii) the cost of printing or producing this Agreement, the Blue Sky Memorandum, closing documents (including any compilations thereof) and any other documents in connection with the offering, purchase, sale and delivery of the Shares; (iv) all expenses in connection with the qualification of the Shares for offering and sale under state securities laws as provided in Section 5(b) hereof, including the fees and disbursements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00" w:top="274" w:right="299" w:bottom="1440" w:gutter="0" w:footer="0" w:header="0"/>
        </w:sectPr>
      </w:pPr>
    </w:p>
    <w:bookmarkStart w:id="23" w:name="page24"/>
    <w:bookmarkEnd w:id="2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counsel for the Underwriter in connection with such qualification and in connection with the Blue Sky survey (not to exceed $10,000); (v) all fees and expenses in connection with listing the Shares on the NYSE; (vi) the filing fees incident to, and the fees and disbursements of counsel for the Underwriter in connection with (not to exceed $10,000), securing any required review by FINRA of the terms of the sale of the Shares; (vii) the fees and expenses (including fees and disbursements of counsel), if any, of the Custodian, other than the fees and expenses to be paid by holders of Shares (other than the Underwriter in connection with the initial purchase of Shares); (viii) the cost of preparing stock certificates, if any; (ix) the cost and charges of any transfer agent or registrar;</w:t>
      </w:r>
    </w:p>
    <w:p>
      <w:pPr>
        <w:spacing w:after="0" w:line="2"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other costs and expenses incident to the performance of its obligations hereunder which are not otherwise specifically provided for in this Section; and</w:t>
      </w:r>
    </w:p>
    <w:p>
      <w:pPr>
        <w:spacing w:after="0" w:line="32" w:lineRule="exact"/>
        <w:rPr>
          <w:rFonts w:ascii="Arial" w:cs="Arial" w:eastAsia="Arial" w:hAnsi="Arial"/>
          <w:sz w:val="16"/>
          <w:szCs w:val="16"/>
          <w:color w:val="auto"/>
        </w:rPr>
      </w:pPr>
    </w:p>
    <w:p>
      <w:pPr>
        <w:ind w:right="20" w:firstLine="8"/>
        <w:spacing w:after="0" w:line="284" w:lineRule="auto"/>
        <w:tabs>
          <w:tab w:leader="none" w:pos="3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Selling Stockholders’ fees and expenses of the Attorneys-in-Fact and the Custodian. Notwithstanding anything in the prior sentence to the contrary, each of the Selling Stockholders agrees severally and not jointly with one another, with the Company and the Underwriter that such Selling Stockholder will pay or cause to be paid all costs and expenses incident to the performance of such Selling Stockholder’s obligations hereunder which are not otherwise specifically provided for in this Section (other than “Registration Expenses” as defined in the Registration Rights Agreement, dated as of November 9, 2009, among the Company and the other parties signatory thereto, which shall be paid by the Company) including: (i) any fees and expenses of counsel for such Selling Stockholder other than as provided above, and (ii) all expenses and transfer and similar taxes incident to the sale and delivery of the Shares to be sold by such Selling Stockholder to the Underwriter hereunder. It is understood, however, that the Company shall bear, and the Selling Stockholders shall not be required to pay or to reimburse the Company for, the cost of any other matters not directly relating to the sale and purchase of the Shares pursuant to this Agreement, and that, except as provided in this Section, and Sections 9 and 11 hereof, the Underwriter will pay all of its own costs and expenses, including the fees of its counsel, and any advertising expenses connected with any offers it may make. In connection with the “road show” undertaken in connection with the marketing of the offering of the Shares, if any, (i) the Company and the Underwriter will each bear their respective proportional share of the costs associated with any aircraft used; (ii) the Company and the Underwriter will each pay their own costs associated with hotel accommodations; (iii) the Underwriter will pay the costs and expenses associated with ground transportation, group functions and any electronic “road show.” All payments to be made by the Company or any Selling Stockholders to or for the account of the Underwriter hereunder shall be made without withholding or deduction for or on account of any present or future taxes, duties or governmental charges imposed by or on behalf of any jurisdiction in which the Company or any Selling Stockholder is organized or incorporated, engaged in business for tax purposes or is otherwise resident for tax purposes, any jurisdiction from or through which a payment is made by or on behalf of the Company or any Selling Stockholder, or any political subdivision, authority or agency in or of any of the foregoing having power to tax whatsoever unless the Company or Selling Stockholder, as applicable, is compelled by law to deduct or withhold such taxes, duties or charges. In that event, the Company or the Selling Stockholders, as applicable, on a several basis, shall pay such additional amounts as may be necessary in order that the net amounts received after such withholding or deduction shall equal the amounts that would have been received if no withholding or deduction had been made.</w:t>
      </w:r>
    </w:p>
    <w:p>
      <w:pPr>
        <w:spacing w:after="0" w:line="277" w:lineRule="exact"/>
        <w:rPr>
          <w:rFonts w:ascii="Arial" w:cs="Arial" w:eastAsia="Arial" w:hAnsi="Arial"/>
          <w:sz w:val="16"/>
          <w:szCs w:val="16"/>
          <w:color w:val="auto"/>
        </w:rPr>
      </w:pPr>
    </w:p>
    <w:p>
      <w:pPr>
        <w:jc w:val="both"/>
        <w:ind w:right="320" w:firstLine="464"/>
        <w:spacing w:after="0" w:line="259" w:lineRule="auto"/>
        <w:tabs>
          <w:tab w:leader="none" w:pos="636"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obligations of the Underwriter hereunder, as to the Shares to be delivered at the Time of Delivery, shall be subject, in its discretion, to the condition that all representations and warranties and other statements of the Company and the Selling Stockholders herein are, at and as of the Time of Delivery, true and correct, the condition that the Company and the Selling Stockholders shall have performed all of their respective obligations hereunder theretofore to be performed, and the following additional conditions: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4" w:name="page25"/>
    <w:bookmarkEnd w:id="24"/>
    <w:p>
      <w:pPr>
        <w:ind w:right="40" w:firstLine="443"/>
        <w:spacing w:after="0" w:line="253" w:lineRule="auto"/>
        <w:tabs>
          <w:tab w:leader="none" w:pos="683"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to the knowledge of the Company, threatened by the Commission;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89" w:lineRule="exact"/>
        <w:rPr>
          <w:rFonts w:ascii="Arial" w:cs="Arial" w:eastAsia="Arial" w:hAnsi="Arial"/>
          <w:sz w:val="18"/>
          <w:szCs w:val="18"/>
          <w:color w:val="auto"/>
        </w:rPr>
      </w:pPr>
    </w:p>
    <w:p>
      <w:pPr>
        <w:ind w:right="460" w:firstLine="443"/>
        <w:spacing w:after="0" w:line="264" w:lineRule="auto"/>
        <w:tabs>
          <w:tab w:leader="none" w:pos="6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Latham &amp; Watkins LLP, counsel for the Underwriter, shall have furnished to you such opinion or opinions, dated the Time of Delivery, substantially in form and substance reasonably satisfactory to you, and such counsel shall have received such papers and information as they may reasonably request to enable them to pass upon such matters;</w:t>
      </w:r>
    </w:p>
    <w:p>
      <w:pPr>
        <w:spacing w:after="0" w:line="73" w:lineRule="exact"/>
        <w:rPr>
          <w:rFonts w:ascii="Arial" w:cs="Arial" w:eastAsia="Arial" w:hAnsi="Arial"/>
          <w:sz w:val="18"/>
          <w:szCs w:val="18"/>
          <w:color w:val="auto"/>
        </w:rPr>
      </w:pPr>
    </w:p>
    <w:p>
      <w:pPr>
        <w:ind w:right="280" w:firstLine="443"/>
        <w:spacing w:after="0" w:line="277" w:lineRule="auto"/>
        <w:tabs>
          <w:tab w:leader="none" w:pos="6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Jones Day, counsel for the Company shall have furnished to you their written opinion dated the Time of Delivery, substantially in the form attached as Annex I(a) hereto;</w:t>
      </w:r>
    </w:p>
    <w:p>
      <w:pPr>
        <w:spacing w:after="0" w:line="62" w:lineRule="exact"/>
        <w:rPr>
          <w:rFonts w:ascii="Arial" w:cs="Arial" w:eastAsia="Arial" w:hAnsi="Arial"/>
          <w:sz w:val="18"/>
          <w:szCs w:val="18"/>
          <w:color w:val="auto"/>
        </w:rPr>
      </w:pPr>
    </w:p>
    <w:p>
      <w:pPr>
        <w:ind w:right="60" w:firstLine="443"/>
        <w:spacing w:after="0" w:line="264" w:lineRule="auto"/>
        <w:tabs>
          <w:tab w:leader="none" w:pos="6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respective counsel for each of the Selling Stockholders, as indicated in Schedule II hereto, each shall have furnished to you its written opinion with respect to each of the Selling Stockholders for whom it is acting as counsel, dated the Time of Delivery, substantially in the form attached as Annex I(b) hereto;</w:t>
      </w:r>
    </w:p>
    <w:p>
      <w:pPr>
        <w:spacing w:after="0" w:line="73" w:lineRule="exact"/>
        <w:rPr>
          <w:rFonts w:ascii="Arial" w:cs="Arial" w:eastAsia="Arial" w:hAnsi="Arial"/>
          <w:sz w:val="18"/>
          <w:szCs w:val="18"/>
          <w:color w:val="auto"/>
        </w:rPr>
      </w:pPr>
    </w:p>
    <w:p>
      <w:pPr>
        <w:ind w:firstLine="443"/>
        <w:spacing w:after="0" w:line="259" w:lineRule="auto"/>
        <w:tabs>
          <w:tab w:leader="none" w:pos="6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the Time of Delivery, Samil PricewaterhouseCoopers shall have furnished to you a “comfort letter,” dated the respective dates of delivery thereof, in form and substance satisfactory to you;</w:t>
      </w:r>
    </w:p>
    <w:p>
      <w:pPr>
        <w:spacing w:after="0" w:line="78" w:lineRule="exact"/>
        <w:rPr>
          <w:rFonts w:ascii="Arial" w:cs="Arial" w:eastAsia="Arial" w:hAnsi="Arial"/>
          <w:sz w:val="18"/>
          <w:szCs w:val="18"/>
          <w:color w:val="auto"/>
        </w:rPr>
      </w:pPr>
    </w:p>
    <w:p>
      <w:pPr>
        <w:ind w:right="20" w:firstLine="443"/>
        <w:spacing w:after="0" w:line="290" w:lineRule="auto"/>
        <w:tabs>
          <w:tab w:leader="none" w:pos="66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the Prospectus, and (ii) since the date as of which information is given in the Pricing Prospectus there shall not have been any change in the capital stock (other than as a result of the grant or exercise of rights pursuant to equity based incentive plans or arrangements for directors, officers and employees of the Company and its subsidiaries outstanding as of the date of the Pricing Prospectus) or long term debt of the Company or any of its subsidiaries or any change, or any development involving a prospective change, in or affecting the general affairs, management, financial position, stockholders’ equity or results of operations of the Company and its subsidiaries, otherwise than as set forth or contemplated in the Pricing Prospectus and</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74" w:right="259" w:bottom="1440" w:gutter="0" w:footer="0" w:header="0"/>
        </w:sectPr>
      </w:pPr>
    </w:p>
    <w:bookmarkStart w:id="25" w:name="page26"/>
    <w:bookmarkEnd w:id="25"/>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Prospectus, the effect of which, in any such case described in clause (i) or (ii), is in the judgment of the Underwriter so material and adverse as to make it impracticable or inadvisable to proceed with the public offering or the delivery of the Shares being delivered at the Time of Delivery on the terms and in the manner contemplated in the Prospectus;</w:t>
      </w:r>
    </w:p>
    <w:p>
      <w:pPr>
        <w:spacing w:after="0" w:line="73" w:lineRule="exact"/>
        <w:rPr>
          <w:sz w:val="20"/>
          <w:szCs w:val="20"/>
          <w:color w:val="auto"/>
        </w:rPr>
      </w:pPr>
    </w:p>
    <w:p>
      <w:pPr>
        <w:ind w:right="60" w:firstLine="443"/>
        <w:spacing w:after="0" w:line="259" w:lineRule="auto"/>
        <w:tabs>
          <w:tab w:leader="none" w:pos="6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or after the Applicable Time (i) no downgrading shall have occurred in the rating accorded the Company’s debt securities by any “nationally recognized statistical rating organization”, as that term is defined under Section 3(a)(62) of the Exchange Act, and (ii) no such organization shall have publicly announced that it has under surveillance or review, with possible negative implications, its rating of any of the Company’s debt securities;</w:t>
      </w:r>
    </w:p>
    <w:p>
      <w:pPr>
        <w:spacing w:after="0" w:line="78" w:lineRule="exact"/>
        <w:rPr>
          <w:rFonts w:ascii="Arial" w:cs="Arial" w:eastAsia="Arial" w:hAnsi="Arial"/>
          <w:sz w:val="18"/>
          <w:szCs w:val="18"/>
          <w:color w:val="auto"/>
        </w:rPr>
      </w:pPr>
    </w:p>
    <w:p>
      <w:pPr>
        <w:ind w:firstLine="443"/>
        <w:spacing w:after="0" w:line="271" w:lineRule="auto"/>
        <w:tabs>
          <w:tab w:leader="none" w:pos="693"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or after the Applicable Time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Underwriter makes it impracticable or inadvisable to proceed with the public offering or the delivery of the Shares being delivered at the Time of Delivery on the terms and in the manner contemplated in the Pricing Prospectus and the Prospectus;</w:t>
      </w:r>
    </w:p>
    <w:p>
      <w:pPr>
        <w:spacing w:after="0" w:line="70" w:lineRule="exact"/>
        <w:rPr>
          <w:rFonts w:ascii="Arial" w:cs="Arial" w:eastAsia="Arial" w:hAnsi="Arial"/>
          <w:sz w:val="17"/>
          <w:szCs w:val="17"/>
          <w:color w:val="auto"/>
        </w:rPr>
      </w:pPr>
    </w:p>
    <w:p>
      <w:pPr>
        <w:ind w:left="660" w:hanging="21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Shares at the Time of Delivery shall have been duly listed on the NYSE;</w:t>
      </w:r>
    </w:p>
    <w:p>
      <w:pPr>
        <w:spacing w:after="0" w:line="117" w:lineRule="exact"/>
        <w:rPr>
          <w:rFonts w:ascii="Arial" w:cs="Arial" w:eastAsia="Arial" w:hAnsi="Arial"/>
          <w:sz w:val="18"/>
          <w:szCs w:val="18"/>
          <w:color w:val="auto"/>
        </w:rPr>
      </w:pPr>
    </w:p>
    <w:p>
      <w:pPr>
        <w:ind w:right="180" w:firstLine="443"/>
        <w:spacing w:after="0" w:line="277" w:lineRule="auto"/>
        <w:tabs>
          <w:tab w:leader="none" w:pos="6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 executed copies of a Lock-Up Agreement from each of the directors and officers of the Company listed on Schedule III(b) hereto, substantially as set forth in Schedule III(a) hereto;</w:t>
      </w:r>
    </w:p>
    <w:p>
      <w:pPr>
        <w:spacing w:after="0" w:line="62" w:lineRule="exact"/>
        <w:rPr>
          <w:rFonts w:ascii="Arial" w:cs="Arial" w:eastAsia="Arial" w:hAnsi="Arial"/>
          <w:sz w:val="18"/>
          <w:szCs w:val="18"/>
          <w:color w:val="auto"/>
        </w:rPr>
      </w:pPr>
    </w:p>
    <w:p>
      <w:pPr>
        <w:ind w:right="300" w:firstLine="443"/>
        <w:spacing w:after="0" w:line="277" w:lineRule="auto"/>
        <w:tabs>
          <w:tab w:leader="none" w:pos="6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Custodian shall have furnished or caused to be furnished to you as of the Time of Delivery a certificate reasonably satisfactory to you evidencing the deposit with it of the Shares;</w:t>
      </w:r>
    </w:p>
    <w:p>
      <w:pPr>
        <w:spacing w:after="0" w:line="62" w:lineRule="exact"/>
        <w:rPr>
          <w:rFonts w:ascii="Arial" w:cs="Arial" w:eastAsia="Arial" w:hAnsi="Arial"/>
          <w:sz w:val="18"/>
          <w:szCs w:val="18"/>
          <w:color w:val="auto"/>
        </w:rPr>
      </w:pPr>
    </w:p>
    <w:p>
      <w:pPr>
        <w:ind w:right="140" w:firstLine="443"/>
        <w:spacing w:after="0" w:line="277" w:lineRule="auto"/>
        <w:tabs>
          <w:tab w:leader="none" w:pos="6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w:t>
      </w:r>
    </w:p>
    <w:p>
      <w:pPr>
        <w:spacing w:after="0" w:line="62" w:lineRule="exact"/>
        <w:rPr>
          <w:rFonts w:ascii="Arial" w:cs="Arial" w:eastAsia="Arial" w:hAnsi="Arial"/>
          <w:sz w:val="18"/>
          <w:szCs w:val="18"/>
          <w:color w:val="auto"/>
        </w:rPr>
      </w:pPr>
    </w:p>
    <w:p>
      <w:pPr>
        <w:ind w:right="80" w:firstLine="443"/>
        <w:spacing w:after="0" w:line="273" w:lineRule="auto"/>
        <w:tabs>
          <w:tab w:leader="none" w:pos="74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Company and each of the Selling Stockholders shall have furnished or caused to be furnished to you at the Time of Delivery certificates of officers of the Company and each of the Selling Stockholders, respectively, reasonably satisfactory to you as to the accuracy of the representations and warranties of the Company and each such Selling Stockholder, respectively, herein at and as of the Time of Delivery, as to the performance by the Company and each such Selling Stockholder of all of their respective obligations hereunder to be performed at or prior to the Time of Delivery, and as to such other matters as you may reasonably request, and the Company shall have furnished or caused to be furnished certificates as to the matters set forth in subsections (a) and (g) of this Section; and</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74" w:right="259" w:bottom="1440" w:gutter="0" w:footer="0" w:header="0"/>
        </w:sectPr>
      </w:pPr>
    </w:p>
    <w:bookmarkStart w:id="26" w:name="page27"/>
    <w:bookmarkEnd w:id="26"/>
    <w:p>
      <w:pPr>
        <w:ind w:firstLine="464"/>
        <w:spacing w:after="0" w:line="287" w:lineRule="auto"/>
        <w:tabs>
          <w:tab w:leader="none" w:pos="636"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The Company will indemnify and hold harmless the Underwriter against any losses, claims, damages or liabilities to which the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Base Prospectus, any Preliminary Prospectus, the Pricing Prospectus or the Prospectus, any amendment or supplement thereto, or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the Underwriter for any legal or other expenses reasonably incurred by the Underwriter in connection with investigating or defending any such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 such loss, claim, damage or liability arises out of or is based upon an</w:t>
      </w:r>
      <w:r>
        <w:rPr>
          <w:rFonts w:ascii="Arial" w:cs="Arial" w:eastAsia="Arial" w:hAnsi="Arial"/>
          <w:sz w:val="16"/>
          <w:szCs w:val="16"/>
          <w:i w:val="1"/>
          <w:iCs w:val="1"/>
          <w:color w:val="auto"/>
        </w:rPr>
        <w:t xml:space="preserve"> </w:t>
      </w:r>
      <w:r>
        <w:rPr>
          <w:rFonts w:ascii="Arial" w:cs="Arial" w:eastAsia="Arial" w:hAnsi="Arial"/>
          <w:sz w:val="16"/>
          <w:szCs w:val="16"/>
          <w:color w:val="auto"/>
        </w:rPr>
        <w:t>untrue statement or alleged untrue statement or omission or alleged omission made in the Registration Statement, the Base Prospectus, any Preliminary Prospectus, the Pricing Prospectus or the Prospectus or any such amendment or supplement thereto or any Issuer Free Writing Prospectus in reliance upon and in conformity with written information furnished to the Company by the Underwriter expressly for use therein.</w:t>
      </w:r>
    </w:p>
    <w:p>
      <w:pPr>
        <w:spacing w:after="0" w:line="65" w:lineRule="exact"/>
        <w:rPr>
          <w:sz w:val="20"/>
          <w:szCs w:val="20"/>
          <w:color w:val="auto"/>
        </w:rPr>
      </w:pPr>
    </w:p>
    <w:p>
      <w:pPr>
        <w:ind w:firstLine="464"/>
        <w:spacing w:after="0" w:line="285" w:lineRule="auto"/>
        <w:tabs>
          <w:tab w:leader="none" w:pos="7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Each of the Selling Stockholders, severally and not jointly, will indemnify and hold harmless the Underwriter against any losses, claims, damages or liabilities to which the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Base Prospectus, any Preliminary Prospectus, the Pricing Prospectus or the Prospectus,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Base Prospectus, any Preliminary Prospectus, the Pricing Prospectus or the Prospectus, any such amendment or supplement thereto or any Issuer Free Writing Prospectus in reliance upon and in conformity with such Selling Stockholder’s Information, it being understood that the only such information furnished by each Selling Stockholder consists of the statements contained with respect to such Selling Stockholder under the caption “Principal and Selling Stockholders”; and will reimburse the Underwriter for any legal or other expenses reasonably incurred by the Underwriter in connection with investigating or defending any such action or claim as such expenses are incurred;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Selling Stockholder shall not be liable in any such case to the extent that any such loss, claim, damage or liability arises out of or is based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upon an untrue statement or alleged untrue statement or omission or alleged omission made in any Preliminary Prospectus, the Registration Statement or the Prospectus or any such amendment or supplement thereto or any Issuer Free Writing Prospectus in reliance upon and in conformity with written information furnished to the Company by the Underwriter expressly for use therein;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liability of a Selling Stockholder pursuant to this subsection (b) shall not exceed the product of the number of Shares sold by such Selling Stockholder and the public offering price of the Shares as set forth in the Prospectus after deducting any underwriting discounts and commissions received by the Underwriter, but without deducting expenses of the Company or Selling Stockholders (“Net Proceeds”).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7" w:name="page28"/>
    <w:bookmarkEnd w:id="27"/>
    <w:p>
      <w:pPr>
        <w:ind w:left="-20" w:right="80" w:firstLine="464"/>
        <w:spacing w:after="0" w:line="269" w:lineRule="auto"/>
        <w:tabs>
          <w:tab w:leader="none" w:pos="681"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Underwriter will indemnify and hold harmless the Company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 untrue statement or alleged untrue statement of a material fact contained in the Registration Statement, the Base Prospectus, any Preliminary Prospectus, the Pricing Prospectus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Base Prospectus, any Preliminary Prospectus, the Pricing Prospectus or the Prospectus or any such amendment or supplement thereto or any Issuer Free Writing Prospectus in reliance upon and in conformity with written information furnished to the Company by the Underwriter expressly for use therein; and will reimburse the Company and each Selling Stockholder for any legal or other expenses reasonably incurred by the Company or such Selling Stockholder in connection with investigating or defending any such action or claim as such expenses are incurred.</w:t>
      </w:r>
    </w:p>
    <w:p>
      <w:pPr>
        <w:spacing w:after="0" w:line="74" w:lineRule="exact"/>
        <w:rPr>
          <w:rFonts w:ascii="Arial" w:cs="Arial" w:eastAsia="Arial" w:hAnsi="Arial"/>
          <w:sz w:val="17"/>
          <w:szCs w:val="17"/>
          <w:color w:val="auto"/>
        </w:rPr>
      </w:pPr>
    </w:p>
    <w:p>
      <w:pPr>
        <w:ind w:left="-20" w:firstLine="464"/>
        <w:spacing w:after="0" w:line="285" w:lineRule="auto"/>
        <w:tabs>
          <w:tab w:leader="none" w:pos="6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(b) or (c) above of notice of the commencement of any action, such indemnified party shall, if a claim in respect thereof is to be made against the indemnifying party under such subsection, notify the indemnifying party in writing of the commencement thereof; but the omission to so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It is understood that the indemnifying party shall not, in connection with any one action or proceeding or separate but substantially similar actions or proceedings arising out of generally the same allegations, be liable for the fees and expenses of more than one separate firm of attorneys at any time for all indemnified parties (except to the extent that local counsel (in addition to any regular counsel) is required to effectively defend against any such action or proceeding).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67" w:lineRule="exact"/>
        <w:rPr>
          <w:rFonts w:ascii="Arial" w:cs="Arial" w:eastAsia="Arial" w:hAnsi="Arial"/>
          <w:sz w:val="16"/>
          <w:szCs w:val="16"/>
          <w:color w:val="auto"/>
        </w:rPr>
      </w:pPr>
    </w:p>
    <w:p>
      <w:pPr>
        <w:ind w:left="-20" w:right="120" w:firstLine="464"/>
        <w:spacing w:after="0" w:line="264" w:lineRule="auto"/>
        <w:tabs>
          <w:tab w:leader="none" w:pos="6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indemnification provided for in this Section 9 is unavailable to or insufficient to hold harmless an indemnified party under subsection (a), (b) or (c) above in respect of any losses, claims, damages or liabilities (or actions in respect thereof) referred to therein, then each indemnifying party shall contribute to the amount paid or payable by such indemnified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60" w:top="274" w:right="239" w:bottom="1440" w:gutter="0" w:footer="0" w:header="0"/>
        </w:sectPr>
      </w:pPr>
    </w:p>
    <w:bookmarkStart w:id="28" w:name="page29"/>
    <w:bookmarkEnd w:id="2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as a result of such losses, claims, damages or liabilities (or actions in respect thereof) in such proportion as is appropriate to reflect the relative benefits received by the Company and the Selling Stockholders (relative as to each other and severally with respect to each other) on the one hand and the Underwriter on the other from the offering of the Shares. If, however, the allocation provided by the immediately preceding sentence is not permitted by applicable law or if the indemnified party failed to give the notice required under subsection (d) above, then each indemnifying party shall contribute to such amount paid or payable by such indemnified party in such proportion as is appropriate to reflect not only such relative benefits but also the relative fault of the Company and the Selling Stockholders (relative as to each other and severally with respect to each other) on the one hand and the Underwriter on the other in connection with the statements or omissions which resulted in such losses, claims, damages or liabilities (or actions in respect thereof), as well as any other relevant equitable considerations. The relative benefits received by the Company and the Selling Stockholders (relative as to each other and severally as to each other) on the one hand and the Underwriter on the other shall be deemed to be in the same proportion as the total net proceeds from the offering (before deducting expenses) received by the Company and the Selling Stockholders (relative as to each other and severally with respect to each other) bear to the total underwriting discounts and commissions received by the Underwriter,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a Selling Stockholder on the one hand or the Underwriter on the other and the parties’ relative intent, knowledge, access to information and opportunity to correct or prevent such statement or omission. The Company, each of the Selling Stockholders and the Underwriter agree that it would not be just and equitable if contributions pursuant to this subsection (e) were determined by pro rata allocation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(i) the Underwriter shall not be required to contribute any amount in excess of the amount by which the total price at which the Shares underwritten by it and distributed to the public were offered to the public exceeds the amount of any damages which the Underwriter has otherwise been required to pay by reason of such untrue or alleged untrue statement or omission or alleged omission and (ii) no Selling Stockholder shall be required to contribute any amount in excess of the amount by which the Net Proceeds exceeds the amount of any damages which such Selling Stockholder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Further, each of the Selling Stockholder’s obligations to contribute pursuant to this subsection (e) are several and not joint.</w:t>
      </w:r>
    </w:p>
    <w:p>
      <w:pPr>
        <w:spacing w:after="0" w:line="283" w:lineRule="exact"/>
        <w:rPr>
          <w:sz w:val="20"/>
          <w:szCs w:val="20"/>
          <w:color w:val="auto"/>
        </w:rPr>
      </w:pPr>
    </w:p>
    <w:p>
      <w:pPr>
        <w:ind w:right="100" w:firstLine="464"/>
        <w:spacing w:after="0" w:line="257" w:lineRule="auto"/>
        <w:tabs>
          <w:tab w:leader="none" w:pos="6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obligations of the Company and the Selling Stockholders under this Section 9 shall be in addition to any liability which the Company and the respective Selling Stockholders may otherwise have and shall extend, upon the same terms and conditions, to any affiliate of the Underwriter and each person, if any, who controls the Underwriter within the meaning of the Act; and the obligations of the Underwriter under this Section 9 shall be in addition to any liability which the Underwriter may otherwise have and shall extend, upon the same terms and conditions, to each officer and director of the Company (including any person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9" w:name="page30"/>
    <w:bookmarkEnd w:id="29"/>
    <w:p>
      <w:pPr>
        <w:ind w:right="2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with his or her consent, is named in the Registration Statement as about to become a director of the Company) and to any affiliate of the Company or any Selling Stockholder and each person, if any, who controls the Company or any Selling Stockholder within the meaning of the Act.</w:t>
      </w:r>
    </w:p>
    <w:p>
      <w:pPr>
        <w:spacing w:after="0" w:line="38" w:lineRule="exact"/>
        <w:rPr>
          <w:sz w:val="20"/>
          <w:szCs w:val="20"/>
          <w:color w:val="auto"/>
        </w:rPr>
      </w:pPr>
    </w:p>
    <w:p>
      <w:pPr>
        <w:ind w:right="20" w:firstLine="464"/>
        <w:spacing w:after="0" w:line="276" w:lineRule="auto"/>
        <w:tabs>
          <w:tab w:leader="none" w:pos="72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respective indemnities, agreements, representations, warranties and other statements of the Company, the Selling Stockholders and the several Underwriters, as set forth in this Agreement or made by or on behalf of them, respectively, pursuant to this Agreement, shall remain in full force and effect, regardless of any investigation (or any statement as to the results thereof) made by or on behalf of the Underwriter or any controlling person of the Underwriter, or the Company, or any of the Selling Stockholders, or any officer or director or controlling person of the Company, or any controlling person of any Selling Stockholder, and shall survive delivery of and payment for the Shares.</w:t>
      </w:r>
    </w:p>
    <w:p>
      <w:pPr>
        <w:spacing w:after="0" w:line="64" w:lineRule="exact"/>
        <w:rPr>
          <w:rFonts w:ascii="Arial" w:cs="Arial" w:eastAsia="Arial" w:hAnsi="Arial"/>
          <w:sz w:val="17"/>
          <w:szCs w:val="17"/>
          <w:color w:val="auto"/>
        </w:rPr>
      </w:pPr>
    </w:p>
    <w:p>
      <w:pPr>
        <w:ind w:right="20" w:firstLine="464"/>
        <w:spacing w:after="0" w:line="25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for any reason any Shares are not delivered by or on behalf of the Selling Stockholders as provided herein, the Company will reimburse the Underwriter for all of its documented out-of-pocket expenses approved in writing by the Underwriter, including fees and disbursements of counsel, reasonably incurred by the Underwriter in making preparations for the purchase, sale and delivery of the Shares not so delivered, but the Company and the Selling Stockholders shall then be under no further liability to the Underwriter in respect of the Shares not so delivered except as provided in Sections 7 and 9 hereof.</w:t>
      </w:r>
    </w:p>
    <w:p>
      <w:pPr>
        <w:spacing w:after="0" w:line="80" w:lineRule="exact"/>
        <w:rPr>
          <w:rFonts w:ascii="Arial" w:cs="Arial" w:eastAsia="Arial" w:hAnsi="Arial"/>
          <w:sz w:val="18"/>
          <w:szCs w:val="18"/>
          <w:color w:val="auto"/>
        </w:rPr>
      </w:pPr>
    </w:p>
    <w:p>
      <w:pPr>
        <w:ind w:right="80" w:firstLine="464"/>
        <w:spacing w:after="0" w:line="289" w:lineRule="auto"/>
        <w:tabs>
          <w:tab w:leader="none" w:pos="726"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All statements, requests, notices and agreements hereunder shall be in writing, and if to the Underwriter shall be delivered or sent by mail, telex or facsimile transmission to you in care of Barclays Capital Inc., 745 Seventh Avenue, New York, New York 10019, Attention: Syndicate Registration; if to any Selling Stockholder shall be delivered or sent by mail, telex or facsimile transmission to counsel for such Selling Stockholder at its address set forth in Schedule I hereto; and if to the Company shall be delivered or sent by mail, telex or facsimile transmission to the address of the Company set forth in the Registration Statement, Attention: Secretary;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notice to the Underwriter pursuant to Section 9(d) hereof shall be delivered or sent by mail, telex or facsimile transmission to the Underwriter at its address set forth in its Underwriter’s Questionnaire or telex constituting such Questionnaire, which address will be supplied to the Company or the Selling Stockholders by you on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notices under subsection 5(e) shall be in writing, and if to the Underwriter shall be delivered or sent by mail, telex or facsimile transmission to you at Barclays Capital Inc., 745 Seventh Avenue, New York, New York 10019, Attention: Syndicate Registration. Any such statements, requests, notices or agreements shall take effect upon receipt thereof.</w:t>
      </w:r>
    </w:p>
    <w:p>
      <w:pPr>
        <w:spacing w:after="0" w:line="5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 is required to obtain, verify and record information that identifies its clients, including the Company, which information may include the name and address of its clients, as well as other information that will allow the Underwriter to properly identify its clients.</w:t>
      </w:r>
    </w:p>
    <w:p>
      <w:pPr>
        <w:spacing w:after="0" w:line="73" w:lineRule="exact"/>
        <w:rPr>
          <w:sz w:val="20"/>
          <w:szCs w:val="20"/>
          <w:color w:val="auto"/>
        </w:rPr>
      </w:pPr>
    </w:p>
    <w:p>
      <w:pPr>
        <w:ind w:right="160" w:firstLine="464"/>
        <w:spacing w:after="0" w:line="257" w:lineRule="auto"/>
        <w:tabs>
          <w:tab w:leader="none" w:pos="7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the Underwriter, the Company and the Selling Stockholders and, to the extent provided in Sections 9 and 10 hereof, the officers and directors of the Company and each person who controls the Company, any Selling Stockholder or the Underwriter, and their respective heirs, executors, administrators, successors and assigns, and no other person shall acquire or have any right under or by virtue of this Agreement. No purchaser of any of the Shares from the Underwriter shall be deemed a successor or assign by reason merely of such purchase.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0" w:name="page31"/>
    <w:bookmarkEnd w:id="30"/>
    <w:p>
      <w:pPr>
        <w:ind w:left="-8" w:right="500" w:firstLine="464"/>
        <w:spacing w:after="0" w:line="277" w:lineRule="auto"/>
        <w:tabs>
          <w:tab w:leader="none" w:pos="718" w:val="left"/>
        </w:tabs>
        <w:numPr>
          <w:ilvl w:val="1"/>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shall be of the essence of this Agreement. As used herein, the term “business day” shall mean any day when the Commission’s office in Washington, D.C. is open for business.</w:t>
      </w:r>
    </w:p>
    <w:p>
      <w:pPr>
        <w:spacing w:after="0" w:line="62" w:lineRule="exact"/>
        <w:rPr>
          <w:rFonts w:ascii="Arial" w:cs="Arial" w:eastAsia="Arial" w:hAnsi="Arial"/>
          <w:sz w:val="18"/>
          <w:szCs w:val="18"/>
          <w:color w:val="auto"/>
        </w:rPr>
      </w:pPr>
    </w:p>
    <w:p>
      <w:pPr>
        <w:ind w:left="-8" w:right="160" w:firstLine="464"/>
        <w:spacing w:after="0" w:line="288" w:lineRule="auto"/>
        <w:tabs>
          <w:tab w:leader="none" w:pos="718"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Company acknowledges and agrees that (i) the purchase and sale of the Shares pursuant to this Agreement is an arm’s-length commercial transaction between the Company and the Selling Stockholders, on the one hand, and the Underwriter, on the other, (ii) in connection therewith and with the process leading to such transaction the Underwriter is acting solely as a principal and not the agent or fiduciary of the Company or the Selling Stockholders,</w:t>
      </w:r>
    </w:p>
    <w:p>
      <w:pPr>
        <w:ind w:left="-8" w:right="120" w:firstLine="8"/>
        <w:spacing w:after="0" w:line="290" w:lineRule="auto"/>
        <w:tabs>
          <w:tab w:leader="none" w:pos="30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Underwriter has not assumed an advisory or fiduciary responsibility in favor of the Company or the Selling Stockholders with respect to the offering contemplated hereby or the process leading thereto (irrespective of whether the Underwriter has advised or is currently advising the Company or the Selling Stockholders on other matters) or any other obligation to the Company or the Selling Stockholders except the obligations expressly set forth in this Agreement and (iv) the Company and the Selling Stockholders have consulted their own legal and financial advisors to the extent they deemed appropriate. The Company and the Selling Stockholders agree that they will not claim that the Underwriter has rendered advisory services of any nature or respect, or owes a fiduciary or similar duty to the Company or the Selling Stockholders, in connection with such transaction or the process leading thereto.</w:t>
      </w:r>
    </w:p>
    <w:p>
      <w:pPr>
        <w:spacing w:after="0" w:line="56" w:lineRule="exact"/>
        <w:rPr>
          <w:rFonts w:ascii="Arial" w:cs="Arial" w:eastAsia="Arial" w:hAnsi="Arial"/>
          <w:sz w:val="16"/>
          <w:szCs w:val="16"/>
          <w:color w:val="auto"/>
        </w:rPr>
      </w:pPr>
    </w:p>
    <w:p>
      <w:pPr>
        <w:ind w:left="-8" w:firstLine="464"/>
        <w:spacing w:after="0" w:line="277" w:lineRule="auto"/>
        <w:tabs>
          <w:tab w:leader="none" w:pos="7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among the Company, the Selling Stockholders and the Underwriter with respect to the subject matter hereof.</w:t>
      </w:r>
    </w:p>
    <w:p>
      <w:pPr>
        <w:spacing w:after="0" w:line="58" w:lineRule="exact"/>
        <w:rPr>
          <w:rFonts w:ascii="Arial" w:cs="Arial" w:eastAsia="Arial" w:hAnsi="Arial"/>
          <w:sz w:val="18"/>
          <w:szCs w:val="18"/>
          <w:color w:val="auto"/>
        </w:rPr>
      </w:pPr>
    </w:p>
    <w:p>
      <w:pPr>
        <w:ind w:left="-8" w:firstLine="464"/>
        <w:spacing w:after="0" w:line="295" w:lineRule="auto"/>
        <w:tabs>
          <w:tab w:leader="none" w:pos="718" w:val="left"/>
        </w:tabs>
        <w:numPr>
          <w:ilvl w:val="1"/>
          <w:numId w:val="41"/>
        </w:numPr>
        <w:rPr>
          <w:rFonts w:ascii="Arial" w:cs="Arial" w:eastAsia="Arial" w:hAnsi="Arial"/>
          <w:sz w:val="16"/>
          <w:szCs w:val="16"/>
          <w:color w:val="auto"/>
        </w:rPr>
      </w:pPr>
      <w:r>
        <w:rPr>
          <w:rFonts w:ascii="Arial" w:cs="Arial" w:eastAsia="Arial" w:hAnsi="Arial"/>
          <w:sz w:val="16"/>
          <w:szCs w:val="16"/>
          <w:b w:val="1"/>
          <w:bCs w:val="1"/>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and each Selling Stockholder agrees that any suit or proceeding arising in respect of this Agreement or our engagement will be tried exclusively in the U.S. District Court for the Southern District of New York or, if that court does not have subject matter jurisdiction, in any state court located in The City and County of New York and the Company and each Selling Stockholder agrees to submit to the jurisdiction of, and to venue in, such courts.</w:t>
      </w:r>
    </w:p>
    <w:p>
      <w:pPr>
        <w:spacing w:after="0" w:line="51" w:lineRule="exact"/>
        <w:rPr>
          <w:rFonts w:ascii="Arial" w:cs="Arial" w:eastAsia="Arial" w:hAnsi="Arial"/>
          <w:sz w:val="16"/>
          <w:szCs w:val="16"/>
          <w:color w:val="auto"/>
        </w:rPr>
      </w:pPr>
    </w:p>
    <w:p>
      <w:pPr>
        <w:ind w:left="-8" w:right="60" w:firstLine="464"/>
        <w:spacing w:after="0" w:line="308" w:lineRule="auto"/>
        <w:tabs>
          <w:tab w:leader="none" w:pos="718"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Company, the Selling Stockholders and the Underwriter hereby irrevocably waive, to the fullest extent permitted by applicable law, any and all right to trial by jury in any legal proceeding arising out of or relating to this Agreement or the transactions contemplated hereby.</w:t>
      </w:r>
    </w:p>
    <w:p>
      <w:pPr>
        <w:spacing w:after="0" w:line="38" w:lineRule="exact"/>
        <w:rPr>
          <w:rFonts w:ascii="Arial" w:cs="Arial" w:eastAsia="Arial" w:hAnsi="Arial"/>
          <w:sz w:val="17"/>
          <w:szCs w:val="17"/>
          <w:color w:val="auto"/>
        </w:rPr>
      </w:pPr>
    </w:p>
    <w:p>
      <w:pPr>
        <w:ind w:left="-8" w:right="200" w:firstLine="464"/>
        <w:spacing w:after="0" w:line="277" w:lineRule="auto"/>
        <w:tabs>
          <w:tab w:leader="none" w:pos="7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respective counterparts shall together constitute one and the same instrument.</w:t>
      </w:r>
    </w:p>
    <w:p>
      <w:pPr>
        <w:spacing w:after="0" w:line="62" w:lineRule="exact"/>
        <w:rPr>
          <w:rFonts w:ascii="Arial" w:cs="Arial" w:eastAsia="Arial" w:hAnsi="Arial"/>
          <w:sz w:val="18"/>
          <w:szCs w:val="18"/>
          <w:color w:val="auto"/>
        </w:rPr>
      </w:pPr>
    </w:p>
    <w:p>
      <w:pPr>
        <w:ind w:left="-8" w:right="40" w:firstLine="464"/>
        <w:spacing w:after="0" w:line="264" w:lineRule="auto"/>
        <w:tabs>
          <w:tab w:leader="none" w:pos="718"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and the Selling Stockholders (and the Company’s and the Selling Stockholders’ employees, representatives and other agents) are authorized to disclose to any and all persons the U.S. federal and state income tax treatment and tax structure of the potential transaction and all materials of any kind</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12"/>
          </w:cols>
          <w:pgMar w:left="248" w:top="274" w:right="239" w:bottom="1440" w:gutter="0" w:footer="0" w:header="0"/>
        </w:sectPr>
      </w:pPr>
    </w:p>
    <w:bookmarkStart w:id="31" w:name="page32"/>
    <w:bookmarkEnd w:id="3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tax opinions and other tax analyses) provided to the Company and the Selling Stockholders relating to that treatment and structure, without the Underwriter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274" w:right="359" w:bottom="1440" w:gutter="0" w:footer="0" w:header="0"/>
        </w:sectPr>
      </w:pPr>
    </w:p>
    <w:bookmarkStart w:id="32" w:name="page33"/>
    <w:bookmarkEnd w:id="32"/>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to us counterparts hereof for the Company and you plus one for each counsel, and upon the acceptance hereof by you this Agreement and such acceptance hereof shall constitute a binding agreement among the Underwriter, each of the Selling Stockholders and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3" w:name="page34"/>
    <w:bookmarkEnd w:id="3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MAGNACHIP SEMICONDUCTOR CORPORATION</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Theodore Kim</w:t>
      </w:r>
    </w:p>
    <w:p>
      <w:pPr>
        <w:spacing w:after="0" w:line="23" w:lineRule="exact"/>
        <w:rPr>
          <w:sz w:val="20"/>
          <w:szCs w:val="20"/>
          <w:color w:val="auto"/>
        </w:rPr>
      </w:pPr>
    </w:p>
    <w:p>
      <w:pPr>
        <w:jc w:val="both"/>
        <w:ind w:left="5980"/>
        <w:spacing w:after="0"/>
        <w:tabs>
          <w:tab w:leader="none" w:pos="6560" w:val="left"/>
        </w:tabs>
        <w:rPr>
          <w:sz w:val="20"/>
          <w:szCs w:val="20"/>
          <w:color w:val="auto"/>
        </w:rPr>
      </w:pPr>
      <w:r>
        <w:rPr>
          <w:rFonts w:ascii="Arial" w:cs="Arial" w:eastAsia="Arial" w:hAnsi="Arial"/>
          <w:sz w:val="18"/>
          <w:szCs w:val="18"/>
          <w:color w:val="auto"/>
        </w:rPr>
        <w:t>Title:</w:t>
        <w:tab/>
        <w:t>Chief Compliance Officer, Executive Vice</w:t>
      </w:r>
    </w:p>
    <w:p>
      <w:pPr>
        <w:spacing w:after="0" w:line="9"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President, General Counsel and Secretary</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[Underwriting Agreement]</w:t>
      </w:r>
    </w:p>
    <w:p>
      <w:pPr>
        <w:sectPr>
          <w:pgSz w:w="11900" w:h="16838" w:orient="portrait"/>
          <w:cols w:equalWidth="0" w:num="1">
            <w:col w:w="9640"/>
          </w:cols>
          <w:pgMar w:left="1440" w:top="274" w:right="819" w:bottom="1440" w:gutter="0" w:footer="0" w:header="0"/>
        </w:sectPr>
      </w:pPr>
    </w:p>
    <w:bookmarkStart w:id="34" w:name="page35"/>
    <w:bookmarkEnd w:id="3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AVENUE SPECIAL SITUATIONS FUND IV,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Randal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Randal Klein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Eric Ross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AVENUE SPECIAL SITUATIONS FUND V,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Randal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Randal Klein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Eric Ross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AVENUE – CDP GLOBAL OPPORTUNITIES FUND, L.P.</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Randal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Randal Klein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Eric Ross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AVENUE INTERNATIONAL MASTER,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Randal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Randal Klein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Eric Ross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AVENUE INVESTMENTS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Randal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Randal Klein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Eric Ross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[Underwriting Agreement]</w:t>
      </w:r>
    </w:p>
    <w:p>
      <w:pPr>
        <w:sectPr>
          <w:pgSz w:w="11900" w:h="16838" w:orient="portrait"/>
          <w:cols w:equalWidth="0" w:num="1">
            <w:col w:w="10000"/>
          </w:cols>
          <w:pgMar w:left="1440" w:top="274" w:right="459" w:bottom="1440" w:gutter="0" w:footer="0" w:header="0"/>
        </w:sectPr>
      </w:pPr>
    </w:p>
    <w:bookmarkStart w:id="35" w:name="page36"/>
    <w:bookmarkEnd w:id="3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AVENUE PPF OPPORTUNITIES FUND,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Randal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Randal Klein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Eric Ross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AVENUE ENTRUST CUSTOMIZED PORTFOLIO SPC 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BEHALF OF AND FOR THE ACCOUNT OF AVENUE US</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EUROPE DISTRESSED SEGREGATED PORTFOLIO</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Randal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Randal Klein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Eric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Eric Ross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[Underwriting Agreement]</w:t>
      </w:r>
    </w:p>
    <w:p>
      <w:pPr>
        <w:sectPr>
          <w:pgSz w:w="11900" w:h="16838" w:orient="portrait"/>
          <w:cols w:equalWidth="0" w:num="1">
            <w:col w:w="10120"/>
          </w:cols>
          <w:pgMar w:left="1440" w:top="27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Victoria 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Victoria Hale</w:t>
      </w:r>
    </w:p>
    <w:p>
      <w:pPr>
        <w:spacing w:after="0" w:line="23"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right"/>
        <w:ind w:right="3539"/>
        <w:spacing w:after="0"/>
        <w:rPr>
          <w:sz w:val="20"/>
          <w:szCs w:val="20"/>
          <w:color w:val="auto"/>
        </w:rPr>
      </w:pPr>
      <w:r>
        <w:rPr>
          <w:rFonts w:ascii="Arial" w:cs="Arial" w:eastAsia="Arial" w:hAnsi="Arial"/>
          <w:sz w:val="18"/>
          <w:szCs w:val="18"/>
          <w:color w:val="auto"/>
        </w:rPr>
        <w:t>[Underwriting Agreement]</w:t>
      </w:r>
    </w:p>
    <w:p>
      <w:pPr>
        <w:sectPr>
          <w:pgSz w:w="11900" w:h="16838" w:orient="portrait"/>
          <w:cols w:equalWidth="0" w:num="1">
            <w:col w:w="10219"/>
          </w:cols>
          <w:pgMar w:left="240" w:top="274"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0300" w:type="dxa"/>
            <w:vAlign w:val="bottom"/>
          </w:tcPr>
          <w:p>
            <w:pPr>
              <w:ind w:left="5120"/>
              <w:spacing w:after="0"/>
              <w:rPr>
                <w:sz w:val="20"/>
                <w:szCs w:val="20"/>
                <w:color w:val="auto"/>
              </w:rPr>
            </w:pPr>
            <w:r>
              <w:rPr>
                <w:rFonts w:ascii="Arial" w:cs="Arial" w:eastAsia="Arial" w:hAnsi="Arial"/>
                <w:sz w:val="18"/>
                <w:szCs w:val="18"/>
                <w:b w:val="1"/>
                <w:bCs w:val="1"/>
                <w:color w:val="auto"/>
              </w:rPr>
              <w:t>SCHEDULE I</w:t>
            </w:r>
            <w:r>
              <w:rPr>
                <w:rFonts w:ascii="Arial" w:cs="Arial" w:eastAsia="Arial" w:hAnsi="Arial"/>
                <w:sz w:val="15"/>
                <w:szCs w:val="15"/>
                <w:b w:val="1"/>
                <w:bCs w:val="1"/>
                <w:color w:val="auto"/>
              </w:rPr>
              <w:t>1</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1030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Total Number of</w:t>
            </w:r>
          </w:p>
        </w:tc>
      </w:tr>
      <w:tr>
        <w:trPr>
          <w:trHeight w:val="171"/>
        </w:trPr>
        <w:tc>
          <w:tcPr>
            <w:tcW w:w="1030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Shares to be Sold</w:t>
            </w:r>
          </w:p>
        </w:tc>
      </w:tr>
      <w:tr>
        <w:trPr>
          <w:trHeight w:val="196"/>
        </w:trPr>
        <w:tc>
          <w:tcPr>
            <w:tcW w:w="10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The Selling Stockholders:</w:t>
            </w: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Avenue Special Situations Fund V, L.P. (a)(b)</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619,115</w:t>
            </w:r>
          </w:p>
        </w:tc>
      </w:tr>
      <w:tr>
        <w:trPr>
          <w:trHeight w:val="216"/>
        </w:trPr>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Avenue Special Situations Fund IV, L.P. (a)(b)</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496,023</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Avenue International Master, L.P. (a)(b)</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1,234,715</w:t>
            </w:r>
          </w:p>
        </w:tc>
      </w:tr>
      <w:tr>
        <w:trPr>
          <w:trHeight w:val="216"/>
        </w:trPr>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Avenue CDP-Global Opportunities Fund, L.P. (a)(b)(c)</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84,924</w:t>
            </w:r>
          </w:p>
        </w:tc>
      </w:tr>
      <w:tr>
        <w:trPr>
          <w:trHeight w:val="216"/>
        </w:trPr>
        <w:tc>
          <w:tcPr>
            <w:tcW w:w="10300" w:type="dxa"/>
            <w:vAlign w:val="bottom"/>
          </w:tcPr>
          <w:p>
            <w:pPr>
              <w:spacing w:after="0"/>
              <w:rPr>
                <w:sz w:val="20"/>
                <w:szCs w:val="20"/>
                <w:color w:val="auto"/>
              </w:rPr>
            </w:pPr>
            <w:r>
              <w:rPr>
                <w:rFonts w:ascii="Arial" w:cs="Arial" w:eastAsia="Arial" w:hAnsi="Arial"/>
                <w:sz w:val="18"/>
                <w:szCs w:val="18"/>
                <w:color w:val="auto"/>
              </w:rPr>
              <w:t>Avenue Investments L.P. (a)(b)</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722,264</w:t>
            </w:r>
          </w:p>
        </w:tc>
      </w:tr>
      <w:tr>
        <w:trPr>
          <w:trHeight w:val="216"/>
        </w:trPr>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Avenue PPF Opportunities Fund, L.P. (a)(b)</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812,190</w:t>
            </w:r>
          </w:p>
        </w:tc>
      </w:tr>
      <w:tr>
        <w:trPr>
          <w:trHeight w:val="202"/>
        </w:trPr>
        <w:tc>
          <w:tcPr>
            <w:tcW w:w="10300" w:type="dxa"/>
            <w:vAlign w:val="bottom"/>
          </w:tcPr>
          <w:p>
            <w:pPr>
              <w:spacing w:after="0" w:line="201" w:lineRule="exact"/>
              <w:rPr>
                <w:sz w:val="20"/>
                <w:szCs w:val="20"/>
                <w:color w:val="auto"/>
              </w:rPr>
            </w:pPr>
            <w:r>
              <w:rPr>
                <w:rFonts w:ascii="Arial" w:cs="Arial" w:eastAsia="Arial" w:hAnsi="Arial"/>
                <w:sz w:val="18"/>
                <w:szCs w:val="18"/>
                <w:color w:val="auto"/>
                <w:w w:val="97"/>
              </w:rPr>
              <w:t>Avenue Entrust Customized Portfolio SPC on behalf of and for the account of Avenue US Europe Distressed Segregated Portfolio (a)</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0300" w:type="dxa"/>
            <w:vAlign w:val="bottom"/>
          </w:tcPr>
          <w:p>
            <w:pPr>
              <w:ind w:left="180"/>
              <w:spacing w:after="0"/>
              <w:rPr>
                <w:sz w:val="20"/>
                <w:szCs w:val="20"/>
                <w:color w:val="auto"/>
              </w:rPr>
            </w:pPr>
            <w:r>
              <w:rPr>
                <w:rFonts w:ascii="Arial" w:cs="Arial" w:eastAsia="Arial" w:hAnsi="Arial"/>
                <w:sz w:val="18"/>
                <w:szCs w:val="18"/>
                <w:color w:val="auto"/>
              </w:rPr>
              <w:t>(b)</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119,747</w:t>
            </w:r>
          </w:p>
        </w:tc>
      </w:tr>
      <w:tr>
        <w:trPr>
          <w:trHeight w:val="216"/>
        </w:trPr>
        <w:tc>
          <w:tcPr>
            <w:tcW w:w="10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4,088,978</w:t>
            </w:r>
          </w:p>
        </w:tc>
      </w:tr>
      <w:tr>
        <w:trPr>
          <w:trHeight w:val="20"/>
        </w:trPr>
        <w:tc>
          <w:tcPr>
            <w:tcW w:w="10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Selling Stockholder has appointed Randal Klein and Eric Ross, and each of them, as Attorneys-in-Fact for such Selling Stockholder.</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This Selling Stockholder is represented by </w:t>
      </w:r>
      <w:r>
        <w:rPr>
          <w:rFonts w:ascii="Arial" w:cs="Arial" w:eastAsia="Arial" w:hAnsi="Arial"/>
          <w:sz w:val="18"/>
          <w:szCs w:val="18"/>
          <w:b w:val="1"/>
          <w:bCs w:val="1"/>
          <w:color w:val="auto"/>
        </w:rPr>
        <w:t>Akin Gump Strauss Hauer &amp; Feld LLP</w:t>
      </w:r>
      <w:r>
        <w:rPr>
          <w:rFonts w:ascii="Arial" w:cs="Arial" w:eastAsia="Arial" w:hAnsi="Arial"/>
          <w:sz w:val="18"/>
          <w:szCs w:val="18"/>
          <w:color w:val="auto"/>
        </w:rPr>
        <w:t>, 1700 Pacific Ave., Suite 4100, Dallas, TX 75201.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This Selling Stockholder is represented by </w:t>
      </w:r>
      <w:r>
        <w:rPr>
          <w:rFonts w:ascii="Arial" w:cs="Arial" w:eastAsia="Arial" w:hAnsi="Arial"/>
          <w:sz w:val="16"/>
          <w:szCs w:val="16"/>
          <w:b w:val="1"/>
          <w:bCs w:val="1"/>
          <w:color w:val="auto"/>
        </w:rPr>
        <w:t>Walkers Global</w:t>
      </w:r>
      <w:r>
        <w:rPr>
          <w:rFonts w:ascii="Arial" w:cs="Arial" w:eastAsia="Arial" w:hAnsi="Arial"/>
          <w:sz w:val="16"/>
          <w:szCs w:val="16"/>
          <w:color w:val="auto"/>
        </w:rPr>
        <w:t>, Walker House, 87 Mary Street, George Town, Grand Cayman KY1-9001, Cayman Islands.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 – 1</w:t>
      </w:r>
    </w:p>
    <w:p>
      <w:pPr>
        <w:sectPr>
          <w:pgSz w:w="11900" w:h="16838" w:orient="portrait"/>
          <w:cols w:equalWidth="0" w:num="1">
            <w:col w:w="11420"/>
          </w:cols>
          <w:pgMar w:left="240" w:top="270" w:right="239" w:bottom="1440" w:gutter="0" w:footer="0" w:header="0"/>
        </w:sectPr>
      </w:pPr>
    </w:p>
    <w:bookmarkStart w:id="38" w:name="page39"/>
    <w:bookmarkEnd w:id="38"/>
    <w:p>
      <w:pPr>
        <w:jc w:val="center"/>
        <w:ind w:right="-12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5" w:lineRule="exact"/>
        <w:rPr>
          <w:sz w:val="20"/>
          <w:szCs w:val="20"/>
          <w:color w:val="auto"/>
        </w:rPr>
      </w:pPr>
    </w:p>
    <w:p>
      <w:pPr>
        <w:ind w:left="4432"/>
        <w:spacing w:after="0"/>
        <w:rPr>
          <w:sz w:val="20"/>
          <w:szCs w:val="20"/>
          <w:color w:val="auto"/>
        </w:rPr>
      </w:pPr>
      <w:r>
        <w:rPr>
          <w:rFonts w:ascii="Arial" w:cs="Arial" w:eastAsia="Arial" w:hAnsi="Arial"/>
          <w:sz w:val="17"/>
          <w:szCs w:val="17"/>
          <w:b w:val="1"/>
          <w:bCs w:val="1"/>
          <w:color w:val="auto"/>
        </w:rPr>
        <w:t>Issuer Free Writing Prospectuses</w:t>
      </w:r>
    </w:p>
    <w:p>
      <w:pPr>
        <w:spacing w:after="0" w:line="268" w:lineRule="exact"/>
        <w:rPr>
          <w:sz w:val="20"/>
          <w:szCs w:val="20"/>
          <w:color w:val="auto"/>
        </w:rPr>
      </w:pPr>
    </w:p>
    <w:p>
      <w:pPr>
        <w:ind w:left="452" w:hanging="452"/>
        <w:spacing w:after="0"/>
        <w:tabs>
          <w:tab w:leader="none" w:pos="4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None.</w:t>
      </w:r>
    </w:p>
    <w:p>
      <w:pPr>
        <w:spacing w:after="0" w:line="130" w:lineRule="exact"/>
        <w:rPr>
          <w:rFonts w:ascii="Arial" w:cs="Arial" w:eastAsia="Arial" w:hAnsi="Arial"/>
          <w:sz w:val="18"/>
          <w:szCs w:val="18"/>
          <w:color w:val="auto"/>
        </w:rPr>
      </w:pPr>
    </w:p>
    <w:p>
      <w:pPr>
        <w:ind w:left="452" w:right="2959" w:hanging="452"/>
        <w:spacing w:after="0" w:line="375" w:lineRule="auto"/>
        <w:tabs>
          <w:tab w:leader="none" w:pos="4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comprises the Pricing Disclosure Package: Number of Shares: 4,088,978</w:t>
      </w:r>
    </w:p>
    <w:p>
      <w:pPr>
        <w:spacing w:after="0" w:line="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Public offering price per Share: $11.10</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Applicable Time: 4:30 p.m. New York City time on August 9, 2017</w:t>
      </w:r>
    </w:p>
    <w:p>
      <w:pPr>
        <w:spacing w:after="0" w:line="158" w:lineRule="exact"/>
        <w:rPr>
          <w:sz w:val="20"/>
          <w:szCs w:val="20"/>
          <w:color w:val="auto"/>
        </w:rPr>
      </w:pPr>
    </w:p>
    <w:p>
      <w:pPr>
        <w:ind w:left="5012"/>
        <w:spacing w:after="0"/>
        <w:rPr>
          <w:sz w:val="20"/>
          <w:szCs w:val="20"/>
          <w:color w:val="auto"/>
        </w:rPr>
      </w:pPr>
      <w:r>
        <w:rPr>
          <w:rFonts w:ascii="Arial" w:cs="Arial" w:eastAsia="Arial" w:hAnsi="Arial"/>
          <w:sz w:val="18"/>
          <w:szCs w:val="18"/>
          <w:color w:val="auto"/>
        </w:rPr>
        <w:t>SCHEDULE II – 1</w:t>
      </w:r>
    </w:p>
    <w:p>
      <w:pPr>
        <w:sectPr>
          <w:pgSz w:w="11900" w:h="16838" w:orient="portrait"/>
          <w:cols w:equalWidth="0" w:num="1">
            <w:col w:w="10211"/>
          </w:cols>
          <w:pgMar w:left="248" w:top="270"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August 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MagnaChip Semiconductor Corporation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undersigned understands that you propose to enter into an Underwriting Agreement with MagnaChip Semiconductor Corporation, a Delaware corporation (the “Company”), and the selling stockholders named in Schedule I to such agreement (the “Selling Stockholders”), providing for a public offering (the “Offering”) of the common stock, par value $0.01 per share (the “Common Stock”), of the Company (the “Shares”) pursuant to a Registration Statement on Form S-3 (No. 333-217576) filed with the Securities and Exchange Commission (the “SEC”). The undersigned is an owner of record or the beneficial owner of Common Stock or securities convertible into or exchangeable or exercisable for Common Stock.</w:t>
      </w:r>
    </w:p>
    <w:p>
      <w:pPr>
        <w:spacing w:after="0" w:line="17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consideration of the agreement by you to offer and sell the Shares, and of other good and valuable consideration the receipt and sufficiency of which is hereby acknowledged, the undersigned agrees that except as expressly provided below, during the period specified in the following paragraph (the “Lock-Up Period”), the undersigned will not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whether now owned or hereinafter acquired, owned directly by the undersigned (including holding as a custodian) or with respect to which the undersigned has beneficial ownership within the rules and regulations of the SEC (collectively the “Undersigned’s Shares”) other than any shares sold pursuant to the Offering or as otherwise provided herein. 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w:t>
      </w:r>
    </w:p>
    <w:p>
      <w:pPr>
        <w:spacing w:after="0" w:line="18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Lock-Up Period will commence on the date of this Lock-Up Agreement and continue for 30 days after the public offering date set forth on the final prospectus used to sell the Shares (the “Public Offering Date”) pursuant to the Underwriting Agreement;</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Notwithstanding the foregoing, the undersigned may transfer the Undersigned’s Shares (i) as a bona fide gift or gifts or by will, testamentary document or intestate succession, (ii) to any trust for the direct or indirect benefit of the undersigned or the immediate family of the undersigned, (iii) in dispositions not involving a change in beneficial ownership, (iv) in dispositions to a spouse, former spouse, child or other dependent pursuant to a domestic relations order or settlement agreement, (v) if the undersigned is a trust, to any beneficiary of the undersigned or to the estate of any such beneficiary, (vi) if the undersigned is a</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III(a) – 1</w:t>
      </w:r>
    </w:p>
    <w:p>
      <w:pPr>
        <w:sectPr>
          <w:pgSz w:w="11900" w:h="16838" w:orient="portrait"/>
          <w:cols w:equalWidth="0" w:num="1">
            <w:col w:w="11420"/>
          </w:cols>
          <w:pgMar w:left="240" w:top="270" w:right="239" w:bottom="1440" w:gutter="0" w:footer="0" w:header="0"/>
        </w:sectPr>
      </w:pPr>
    </w:p>
    <w:bookmarkStart w:id="40" w:name="page41"/>
    <w:bookmarkEnd w:id="40"/>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limited liability company or partnership, to any affiliate (within the meaning set forth in Rule 405 as promulgated by the SEC under the Securities Act of 1933, as amended (the “Securities Act”), (vii) if the undersigned is a partnership or limited liability company, to the partners, former partners, members or former members of the undersigned, as applicable, or to the estates of any such partners, former partners, members or former members,</w:t>
      </w:r>
    </w:p>
    <w:p>
      <w:pPr>
        <w:ind w:left="420" w:hanging="412"/>
        <w:spacing w:after="0"/>
        <w:tabs>
          <w:tab w:leader="none" w:pos="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the extent involving transactions of shares of the Shares or other securities acquired in open market transactions after the Public Offering Date or</w:t>
      </w:r>
    </w:p>
    <w:p>
      <w:pPr>
        <w:spacing w:after="0" w:line="32" w:lineRule="exact"/>
        <w:rPr>
          <w:rFonts w:ascii="Arial" w:cs="Arial" w:eastAsia="Arial" w:hAnsi="Arial"/>
          <w:sz w:val="16"/>
          <w:szCs w:val="16"/>
          <w:color w:val="auto"/>
        </w:rPr>
      </w:pPr>
    </w:p>
    <w:p>
      <w:pPr>
        <w:ind w:firstLine="8"/>
        <w:spacing w:after="0" w:line="285" w:lineRule="auto"/>
        <w:tabs>
          <w:tab w:leader="none" w:pos="30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with your prior written consent;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any of (ii), (iii), (v), (vi) or (vii) such transfer shall not involve a disposition for value, and </w:t>
      </w:r>
      <w:r>
        <w:rPr>
          <w:rFonts w:ascii="Arial" w:cs="Arial" w:eastAsia="Arial" w:hAnsi="Arial"/>
          <w:sz w:val="16"/>
          <w:szCs w:val="16"/>
          <w:i w:val="1"/>
          <w:iCs w:val="1"/>
          <w:color w:val="auto"/>
        </w:rPr>
        <w:t xml:space="preserve">provided further </w:t>
      </w:r>
      <w:r>
        <w:rPr>
          <w:rFonts w:ascii="Arial" w:cs="Arial" w:eastAsia="Arial" w:hAnsi="Arial"/>
          <w:sz w:val="16"/>
          <w:szCs w:val="16"/>
          <w:color w:val="auto"/>
        </w:rPr>
        <w:t>that in any of (i) through (vii) above, but not (viii), that it shall be a condition to the transfer that the transferee execute an agreement stating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the transferee is receiving and holding such capital stock subject to the provisions of this Lock-Up Agreement and there shall be no further transfer of such capital stock except in accordance with this Lock-Up Agreement;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the cases of (i) through (viii) above, it shall be a condition to any such transfer that no public reports, including but not limited to reports pursuant to Rule 144 of the Securities Act, pursuant to Section 13 or Section 16 of the Securities Exchange Act of 1934, as amended (the “Exchange Act”), or pursuant to any other regulatory agency are required to be filed by the undersigned during the Lock-Up Period (as may have been extended pursuant to the terms of this Lock-Up Agreement) and no such reports are voluntarily filed, and no public announcements are voluntarily made, by the undersigned during the Lock-Up Period (as may have been extended pursuant to the terms of this Lock-Up Agreement). For purposes of this Lock-Up Agreement, “immediate family” shall mean any relationship by blood, marriage or adoption, not more remote than first cousin. The undersigned now has, and, except as contemplated by clauses (i) through (ix) above, for the duration of this Lock-Up Agreement will have, good and marketable title to the Undersigned’s Shares, free and clear of all liens, encumbrances, and claims whatsoever. The undersigned also agrees and consents to the entry, during the Lock-Up Period only, of stop transfer instructions with the Company’s transfer agent and registrar against the transfer of the Undersigned’s Shares except in compliance with the foregoing restrictions.</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addition to the provisions of the preceding paragraph and notwithstanding anything to the contrary herein, the undersigned may enter into an agreement to allow brokerage sales of all or a portion of the Undersigned’s Shares pursuant to Rule 10b5-1 of the Exchange Act, provided that (i) no public announcement or disclosure of entry into such agreement is made or required to be made and (ii) any such brokerage sales may not occur prior to the expiration of the Lock-Up Period (as the same may have been extended as provided for above).</w:t>
      </w:r>
    </w:p>
    <w:p>
      <w:pPr>
        <w:spacing w:after="0" w:line="18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This Lock-Up Agreement shall lapse and become null and void (i) upon written notice from the Company to you that the Company or the Selling Stockholders do not intend to proceed with the Offering or wish to terminate the engagement of you of the Offering or (ii) the Offering shall not have occurred on or before August 30, 2017.</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III(a) – 2</w:t>
      </w:r>
    </w:p>
    <w:p>
      <w:pPr>
        <w:sectPr>
          <w:pgSz w:w="11900" w:h="16838" w:orient="portrait"/>
          <w:cols w:equalWidth="0" w:num="1">
            <w:col w:w="11400"/>
          </w:cols>
          <w:pgMar w:left="240" w:top="274" w:right="259" w:bottom="1440" w:gutter="0" w:footer="0" w:header="0"/>
        </w:sectPr>
      </w:pPr>
    </w:p>
    <w:bookmarkStart w:id="41" w:name="page42"/>
    <w:bookmarkEnd w:id="41"/>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understands that you and the Company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SCHEDULE III(a) – 3</w:t>
      </w:r>
    </w:p>
    <w:p>
      <w:pPr>
        <w:sectPr>
          <w:pgSz w:w="11900" w:h="16838" w:orient="portrait"/>
          <w:cols w:equalWidth="0" w:num="1">
            <w:col w:w="11300"/>
          </w:cols>
          <w:pgMar w:left="240" w:top="274" w:right="359" w:bottom="1440" w:gutter="0" w:footer="0" w:header="0"/>
        </w:sectPr>
      </w:pPr>
    </w:p>
    <w:bookmarkStart w:id="42" w:name="page43"/>
    <w:bookmarkEnd w:id="42"/>
    <w:p>
      <w:pPr>
        <w:jc w:val="center"/>
        <w:ind w:right="-76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III(b)</w:t>
      </w:r>
    </w:p>
    <w:p>
      <w:pPr>
        <w:spacing w:after="0" w:line="225" w:lineRule="exact"/>
        <w:rPr>
          <w:sz w:val="20"/>
          <w:szCs w:val="20"/>
          <w:color w:val="auto"/>
        </w:rPr>
      </w:pPr>
    </w:p>
    <w:p>
      <w:pPr>
        <w:ind w:left="3246"/>
        <w:spacing w:after="0"/>
        <w:rPr>
          <w:sz w:val="20"/>
          <w:szCs w:val="20"/>
          <w:color w:val="auto"/>
        </w:rPr>
      </w:pPr>
      <w:r>
        <w:rPr>
          <w:rFonts w:ascii="Arial" w:cs="Arial" w:eastAsia="Arial" w:hAnsi="Arial"/>
          <w:sz w:val="18"/>
          <w:szCs w:val="18"/>
          <w:b w:val="1"/>
          <w:bCs w:val="1"/>
          <w:color w:val="auto"/>
        </w:rPr>
        <w:t>Directors and Officers Party to Lock-up Agreements</w:t>
      </w:r>
    </w:p>
    <w:p>
      <w:pPr>
        <w:spacing w:after="0" w:line="256" w:lineRule="exact"/>
        <w:rPr>
          <w:sz w:val="20"/>
          <w:szCs w:val="20"/>
          <w:color w:val="auto"/>
        </w:rPr>
      </w:pPr>
    </w:p>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Young-Joon Kim / YJ Kim (Chief Executive Officer)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Theodore Kim (Chief Compliance Officer, Executive Vice President, General Counsel and Secretary)</w:t>
      </w:r>
    </w:p>
    <w:p>
      <w:pPr>
        <w:spacing w:after="0" w:line="153" w:lineRule="exact"/>
        <w:rPr>
          <w:rFonts w:ascii="Arial" w:cs="Arial" w:eastAsia="Arial" w:hAnsi="Arial"/>
          <w:sz w:val="16"/>
          <w:szCs w:val="16"/>
          <w:color w:val="auto"/>
        </w:rPr>
      </w:pPr>
    </w:p>
    <w:p>
      <w:pPr>
        <w:ind w:left="446" w:hanging="446"/>
        <w:spacing w:after="0"/>
        <w:tabs>
          <w:tab w:leader="none" w:pos="4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Jonathan Kim (Chief Financial Officer, Executive Vice President and Chief Accounting Officer)</w:t>
      </w:r>
    </w:p>
    <w:p>
      <w:pPr>
        <w:spacing w:after="0" w:line="142" w:lineRule="exact"/>
        <w:rPr>
          <w:rFonts w:ascii="Arial" w:cs="Arial" w:eastAsia="Arial" w:hAnsi="Arial"/>
          <w:sz w:val="17"/>
          <w:szCs w:val="17"/>
          <w:color w:val="auto"/>
        </w:rPr>
      </w:pPr>
    </w:p>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Tae Jong Lee (Executive Vice President and General Manager, Foundry Services Group)</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5"/>
        </w:numPr>
        <w:rPr>
          <w:rFonts w:ascii="Arial" w:cs="Arial" w:eastAsia="Arial" w:hAnsi="Arial"/>
          <w:sz w:val="17"/>
          <w:szCs w:val="17"/>
          <w:color w:val="auto"/>
        </w:rPr>
      </w:pPr>
      <w:r>
        <w:rPr>
          <w:rFonts w:ascii="Arial" w:cs="Arial" w:eastAsia="Arial" w:hAnsi="Arial"/>
          <w:sz w:val="17"/>
          <w:szCs w:val="17"/>
          <w:color w:val="auto"/>
        </w:rPr>
        <w:t>Woung Moo Lee (Executive Vice President and General Manager, Standard Products Group)</w:t>
      </w:r>
    </w:p>
    <w:p>
      <w:pPr>
        <w:spacing w:after="0" w:line="142" w:lineRule="exact"/>
        <w:rPr>
          <w:rFonts w:ascii="Arial" w:cs="Arial" w:eastAsia="Arial" w:hAnsi="Arial"/>
          <w:sz w:val="17"/>
          <w:szCs w:val="17"/>
          <w:color w:val="auto"/>
        </w:rPr>
      </w:pPr>
    </w:p>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Gary Tanner (Director)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Melvin Keating (Director)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Randal Klein (Director)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Camillo Martino (Director)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Ilbok Lee (Director)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Nader Tavakoli (Director)</w:t>
      </w:r>
    </w:p>
    <w:p>
      <w:pPr>
        <w:spacing w:after="0" w:line="158" w:lineRule="exact"/>
        <w:rPr>
          <w:sz w:val="20"/>
          <w:szCs w:val="20"/>
          <w:color w:val="auto"/>
        </w:rPr>
      </w:pPr>
    </w:p>
    <w:p>
      <w:pPr>
        <w:ind w:left="4446"/>
        <w:spacing w:after="0"/>
        <w:rPr>
          <w:sz w:val="20"/>
          <w:szCs w:val="20"/>
          <w:color w:val="auto"/>
        </w:rPr>
      </w:pPr>
      <w:r>
        <w:rPr>
          <w:rFonts w:ascii="Arial" w:cs="Arial" w:eastAsia="Arial" w:hAnsi="Arial"/>
          <w:sz w:val="18"/>
          <w:szCs w:val="18"/>
          <w:color w:val="auto"/>
        </w:rPr>
        <w:t>SCHEDULE III(b) – 1</w:t>
      </w:r>
    </w:p>
    <w:p>
      <w:pPr>
        <w:sectPr>
          <w:pgSz w:w="11900" w:h="16838" w:orient="portrait"/>
          <w:cols w:equalWidth="0" w:num="1">
            <w:col w:w="9765"/>
          </w:cols>
          <w:pgMar w:left="694" w:top="270" w:right="1440" w:bottom="1440" w:gutter="0" w:footer="0" w:header="0"/>
        </w:sectPr>
      </w:pPr>
    </w:p>
    <w:bookmarkStart w:id="43" w:name="page44"/>
    <w:bookmarkEnd w:id="43"/>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S.A. (Luxembourg)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SA Holdings LLC (Delaware,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Inc. (California,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B.V.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Ltd.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Inc. (Japan)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Limited (Taiwan)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Limited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Holding Company Limited (British Virgin Island)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(Shanghai) Company Limited (China)</w:t>
      </w:r>
    </w:p>
    <w:p>
      <w:pPr>
        <w:spacing w:after="0" w:line="14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SCHEDULE IV</w:t>
      </w:r>
    </w:p>
    <w:p>
      <w:pPr>
        <w:sectPr>
          <w:pgSz w:w="11900" w:h="16838" w:orient="portrait"/>
          <w:cols w:equalWidth="0" w:num="1">
            <w:col w:w="10219"/>
          </w:cols>
          <w:pgMar w:left="240" w:top="270"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FORM OF JONES DAY OPINION</w:t>
      </w: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ANNEX I(a) – 1</w:t>
      </w:r>
    </w:p>
    <w:p>
      <w:pPr>
        <w:sectPr>
          <w:pgSz w:w="11900" w:h="16838" w:orient="portrait"/>
          <w:cols w:equalWidth="0" w:num="1">
            <w:col w:w="10220"/>
          </w:cols>
          <w:pgMar w:left="1440" w:top="27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I(b)</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FORMS OF SELLING STOCKHOLDER COUNSEL OPINION</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10220"/>
          </w:cols>
          <w:pgMar w:left="1440" w:top="27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926465</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2272665" cy="5829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726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Discloses Pricing of Secondary Offering by Selling Stockholders of 4,088,978 Shares of Common Stock</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SEOUL, South Korea and SAN JOSE, Calif., August 9, 2017 </w:t>
      </w:r>
      <w:r>
        <w:rPr>
          <w:rFonts w:ascii="Arial" w:cs="Arial" w:eastAsia="Arial" w:hAnsi="Arial"/>
          <w:sz w:val="18"/>
          <w:szCs w:val="18"/>
          <w:color w:val="auto"/>
        </w:rPr>
        <w:t>— MagnaChip Semiconductor Corporation (“MagnaChip”) (NYSE: MX), a designer and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manufacturer of analog and mixed-signal semiconductor platform solutions for communications, IoT, consumer, industrial and automotive applications, today disclosed that certain of its stockholders that are affiliated with Avenue Capital Management II, L.P. (the “selling stockholders”) priced an underwritten registered public offering of 4,088,978 shares of MagnaChip’s common stock at a price per share to the public of $11.10. The common stock offering is expected to close on August 15, 2017, subject to customary closing conditions. MagnaChip will not receive any proceeds from the sale of its common stock by the selling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Barclays is acting as sole book-running manager and underwriter for the offering.</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 registration statement (including a prospectus) relating to these securities was declared effective by the Securities and Exchange Commission (“SEC”) on May 11, 2017 and MagnaChip has filed a related preliminary prospectus supplement with the SEC. Before you invest, you should read the prospectus included in that registration statement, the preliminary prospectus supplement and the other documents MagnaChip has filed with the SEC for more complete information about MagnaChip and its common stock. You may obtain these documents for free by visiting EDGAR on the SEC website at www.sec.gov. Alternatively, a copy of the final prospectus supplement relating to the offering may be obtained from Barclays Capital Inc., c/o Broadridge Financial Solutions, 1155 Long Island Avenue, Edgewood, NY 11717, by telephone at 888-603-5847 or by e-mail at Barclaysprospectus@broadridge.com.</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release does not constitute an offer to sell or a solicitation of an offer to buy any securities, nor shall there by any sale of these securities in any state or jurisdiction in which such offer, solicitation or sale would be unlawful prior to registration or qualification under the securities laws of such state or jurisdiction. The offering of the common stock will be made only by means of the prospectus and related prospectus supplement. The common stock being offered has not been approved or disapproved by any regulatory authority, nor has any such authority passed upon the accuracy or adequacy of the registration statement, the prospectus contained therein or the preliminary prospectus supplement.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 Corporation</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over 30 years of operating history, owns a portfolio of approximately 3,300 registered patents and pending applications, and has extensive engineering, design and manufacturing process expertise.</w:t>
      </w:r>
    </w:p>
    <w:p>
      <w:pPr>
        <w:sectPr>
          <w:pgSz w:w="11900" w:h="16838" w:orient="portrait"/>
          <w:cols w:equalWidth="0" w:num="1">
            <w:col w:w="11420"/>
          </w:cols>
          <w:pgMar w:left="240" w:top="12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for 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in this release regarding the closing of the common stock offering are forward-looking statements within the meaning of the Private Securities Litigation Reform Act of 1995 that involve risks and uncertainties, including risks and uncertainties related to market conditions. MagnaChip cannot assure you that the offering will be completed on the anticipated terms, or at all. All forward-looking statements included in this release are based upon information available to MagnaChip as of the date of this release, which may change, and we assume no obligation to update any such forward-looking statements. You should carefully read and consider the information set forth under “Risk Factors” in the preliminary prospectus supplement and the accompanying prospectus and other risks detailed from time to time in MagnaChip’s filings with the SEC, including our Form 10-K filed on February 21, 2017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360"/>
          </w:cols>
          <w:pgMar w:left="240" w:top="270" w:right="29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Bruce Entin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+1-408-625-1262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Investor.relations@magnachip.com</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Korea: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Chankeun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+82-2-6903-3195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chankeun.park@magnachip.com</w:t>
      </w:r>
    </w:p>
    <w:p>
      <w:pPr>
        <w:spacing w:after="0" w:line="200" w:lineRule="exact"/>
        <w:rPr>
          <w:sz w:val="20"/>
          <w:szCs w:val="20"/>
          <w:color w:val="auto"/>
        </w:rPr>
      </w:pPr>
    </w:p>
    <w:p>
      <w:pPr>
        <w:sectPr>
          <w:pgSz w:w="11900" w:h="16838" w:orient="portrait"/>
          <w:cols w:equalWidth="0" w:num="2">
            <w:col w:w="5340" w:space="720"/>
            <w:col w:w="5300"/>
          </w:cols>
          <w:pgMar w:left="240" w:top="270" w:right="299" w:bottom="1440" w:gutter="0" w:footer="0" w:header="0"/>
          <w:type w:val="continuous"/>
        </w:sectPr>
      </w:pPr>
    </w:p>
    <w:p>
      <w:pPr>
        <w:spacing w:after="0" w:line="4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 #</w:t>
      </w:r>
    </w:p>
    <w:sectPr>
      <w:pgSz w:w="11900" w:h="16838" w:orient="portrait"/>
      <w:cols w:equalWidth="0" w:num="1">
        <w:col w:w="11360"/>
      </w:cols>
      <w:pgMar w:left="240" w:top="27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2)"/>
      <w:numFmt w:val="lowerRoman"/>
      <w:start w:val="1"/>
    </w:lvl>
  </w:abstractNum>
  <w:abstractNum w:abstractNumId="2">
    <w:nsid w:val="75A2A8D4"/>
    <w:multiLevelType w:val="hybridMultilevel"/>
    <w:lvl w:ilvl="0">
      <w:lvlJc w:val="left"/>
      <w:lvlText w:val="(%1)"/>
      <w:numFmt w:val="lowerRoman"/>
      <w:start w:val="2"/>
    </w:lvl>
  </w:abstractNum>
  <w:abstractNum w:abstractNumId="3">
    <w:nsid w:val="8EDBDAB"/>
    <w:multiLevelType w:val="hybridMultilevel"/>
    <w:lvl w:ilvl="0">
      <w:lvlJc w:val="left"/>
      <w:lvlText w:val="(%1)"/>
      <w:numFmt w:val="lowerRoman"/>
      <w:start w:val="5"/>
    </w:lvl>
  </w:abstractNum>
  <w:abstractNum w:abstractNumId="4">
    <w:nsid w:val="79838CB2"/>
    <w:multiLevelType w:val="hybridMultilevel"/>
    <w:lvl w:ilvl="0">
      <w:lvlJc w:val="left"/>
      <w:lvlText w:val="(%1)"/>
      <w:numFmt w:val="lowerRoman"/>
      <w:start w:val="8"/>
    </w:lvl>
  </w:abstractNum>
  <w:abstractNum w:abstractNumId="5">
    <w:nsid w:val="4353D0CD"/>
    <w:multiLevelType w:val="hybridMultilevel"/>
    <w:lvl w:ilvl="0">
      <w:lvlJc w:val="left"/>
      <w:lvlText w:val="%1"/>
      <w:numFmt w:val="lowerRoman"/>
      <w:start w:val="1"/>
    </w:lvl>
    <w:lvl w:ilvl="1">
      <w:lvlJc w:val="left"/>
      <w:lvlText w:val="(%2)"/>
      <w:numFmt w:val="lowerRoman"/>
      <w:start w:val="11"/>
    </w:lvl>
  </w:abstractNum>
  <w:abstractNum w:abstractNumId="6">
    <w:nsid w:val="B03E0C6"/>
    <w:multiLevelType w:val="hybridMultilevel"/>
    <w:lvl w:ilvl="0">
      <w:lvlJc w:val="left"/>
      <w:lvlText w:val="(%1)"/>
      <w:numFmt w:val="lowerRoman"/>
      <w:start w:val="2"/>
    </w:lvl>
    <w:lvl w:ilvl="1">
      <w:lvlJc w:val="left"/>
      <w:lvlText w:val="(%2)"/>
      <w:numFmt w:val="lowerRoman"/>
      <w:start w:val="12"/>
    </w:lvl>
  </w:abstractNum>
  <w:abstractNum w:abstractNumId="7">
    <w:nsid w:val="189A769B"/>
    <w:multiLevelType w:val="hybridMultilevel"/>
    <w:lvl w:ilvl="0">
      <w:lvlJc w:val="left"/>
      <w:lvlText w:val="(%1)"/>
      <w:numFmt w:val="lowerRoman"/>
      <w:start w:val="16"/>
    </w:lvl>
  </w:abstractNum>
  <w:abstractNum w:abstractNumId="8">
    <w:nsid w:val="54E49EB4"/>
    <w:multiLevelType w:val="hybridMultilevel"/>
    <w:lvl w:ilvl="0">
      <w:lvlJc w:val="left"/>
      <w:lvlText w:val="(%1)"/>
      <w:numFmt w:val="lowerRoman"/>
      <w:start w:val="20"/>
    </w:lvl>
  </w:abstractNum>
  <w:abstractNum w:abstractNumId="9">
    <w:nsid w:val="71F32454"/>
    <w:multiLevelType w:val="hybridMultilevel"/>
    <w:lvl w:ilvl="0">
      <w:lvlJc w:val="left"/>
      <w:lvlText w:val="%1"/>
      <w:numFmt w:val="lowerRoman"/>
      <w:start w:val="1"/>
    </w:lvl>
    <w:lvl w:ilvl="1">
      <w:lvlJc w:val="left"/>
      <w:lvlText w:val="(%2)"/>
      <w:numFmt w:val="lowerRoman"/>
      <w:start w:val="24"/>
    </w:lvl>
  </w:abstractNum>
  <w:abstractNum w:abstractNumId="10">
    <w:nsid w:val="2CA88611"/>
    <w:multiLevelType w:val="hybridMultilevel"/>
    <w:lvl w:ilvl="0">
      <w:lvlJc w:val="left"/>
      <w:lvlText w:val="(%1)"/>
      <w:numFmt w:val="lowerRoman"/>
      <w:start w:val="1"/>
    </w:lvl>
    <w:lvl w:ilvl="1">
      <w:lvlJc w:val="left"/>
      <w:lvlText w:val="(%2)"/>
      <w:numFmt w:val="lowerRoman"/>
      <w:start w:val="25"/>
    </w:lvl>
  </w:abstractNum>
  <w:abstractNum w:abstractNumId="11">
    <w:nsid w:val="836C40E"/>
    <w:multiLevelType w:val="hybridMultilevel"/>
    <w:lvl w:ilvl="0">
      <w:lvlJc w:val="left"/>
      <w:lvlText w:val="%1"/>
      <w:numFmt w:val="lowerRoman"/>
      <w:start w:val="1"/>
    </w:lvl>
    <w:lvl w:ilvl="1">
      <w:lvlJc w:val="left"/>
      <w:lvlText w:val="(%2)"/>
      <w:numFmt w:val="lowerRoman"/>
      <w:start w:val="28"/>
    </w:lvl>
  </w:abstractNum>
  <w:abstractNum w:abstractNumId="12">
    <w:nsid w:val="2901D82"/>
    <w:multiLevelType w:val="hybridMultilevel"/>
    <w:lvl w:ilvl="0">
      <w:lvlJc w:val="left"/>
      <w:lvlText w:val="(%1)"/>
      <w:numFmt w:val="lowerRoman"/>
      <w:start w:val="2"/>
    </w:lvl>
    <w:lvl w:ilvl="1">
      <w:lvlJc w:val="left"/>
      <w:lvlText w:val="(%2)"/>
      <w:numFmt w:val="lowerRoman"/>
      <w:start w:val="31"/>
    </w:lvl>
  </w:abstractNum>
  <w:abstractNum w:abstractNumId="13">
    <w:nsid w:val="3A95F874"/>
    <w:multiLevelType w:val="hybridMultilevel"/>
    <w:lvl w:ilvl="0">
      <w:lvlJc w:val="left"/>
      <w:lvlText w:val="(%1)"/>
      <w:numFmt w:val="lowerRoman"/>
      <w:start w:val="3"/>
    </w:lvl>
    <w:lvl w:ilvl="1">
      <w:lvlJc w:val="left"/>
      <w:lvlText w:val="(%2)"/>
      <w:numFmt w:val="lowerRoman"/>
      <w:start w:val="32"/>
    </w:lvl>
  </w:abstractNum>
  <w:abstractNum w:abstractNumId="14">
    <w:nsid w:val="8138641"/>
    <w:multiLevelType w:val="hybridMultilevel"/>
    <w:lvl w:ilvl="0">
      <w:lvlJc w:val="left"/>
      <w:lvlText w:val="(%1)"/>
      <w:numFmt w:val="lowerRoman"/>
      <w:start w:val="38"/>
    </w:lvl>
  </w:abstractNum>
  <w:abstractNum w:abstractNumId="15">
    <w:nsid w:val="1E7FF521"/>
    <w:multiLevelType w:val="hybridMultilevel"/>
    <w:lvl w:ilvl="0">
      <w:lvlJc w:val="left"/>
      <w:lvlText w:val="(%1)"/>
      <w:numFmt w:val="lowerRoman"/>
      <w:start w:val="1"/>
    </w:lvl>
  </w:abstractNum>
  <w:abstractNum w:abstractNumId="16">
    <w:nsid w:val="7C3DBD3D"/>
    <w:multiLevelType w:val="hybridMultilevel"/>
    <w:lvl w:ilvl="0">
      <w:lvlJc w:val="left"/>
      <w:lvlText w:val="(%1)"/>
      <w:numFmt w:val="lowerRoman"/>
      <w:start w:val="4"/>
    </w:lvl>
  </w:abstractNum>
  <w:abstractNum w:abstractNumId="17">
    <w:nsid w:val="737B8DDC"/>
    <w:multiLevelType w:val="hybridMultilevel"/>
    <w:lvl w:ilvl="0">
      <w:lvlJc w:val="left"/>
      <w:lvlText w:val="(%1)"/>
      <w:numFmt w:val="lowerRoman"/>
      <w:start w:val="9"/>
    </w:lvl>
    <w:lvl w:ilvl="1">
      <w:lvlJc w:val="left"/>
      <w:lvlText w:val="%2)"/>
      <w:numFmt w:val="lowerLetter"/>
      <w:start w:val="1"/>
    </w:lvl>
  </w:abstractNum>
  <w:abstractNum w:abstractNumId="18">
    <w:nsid w:val="6CEAF087"/>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3"/>
    </w:lvl>
  </w:abstractNum>
  <w:abstractNum w:abstractNumId="19">
    <w:nsid w:val="22221A70"/>
    <w:multiLevelType w:val="hybridMultilevel"/>
    <w:lvl w:ilvl="0">
      <w:lvlJc w:val="left"/>
      <w:lvlText w:val="%1"/>
      <w:numFmt w:val="upperLetter"/>
      <w:start w:val="1"/>
    </w:lvl>
    <w:lvl w:ilvl="1">
      <w:lvlJc w:val="left"/>
      <w:lvlText w:val="(%2)"/>
      <w:numFmt w:val="lowerRoman"/>
      <w:start w:val="12"/>
    </w:lvl>
    <w:lvl w:ilvl="2">
      <w:lvlJc w:val="left"/>
      <w:lvlText w:val="%3"/>
      <w:numFmt w:val="lowerLetter"/>
      <w:start w:val="1"/>
    </w:lvl>
  </w:abstractNum>
  <w:abstractNum w:abstractNumId="20">
    <w:nsid w:val="4516DDE9"/>
    <w:multiLevelType w:val="hybridMultilevel"/>
    <w:lvl w:ilvl="0">
      <w:lvlJc w:val="left"/>
      <w:lvlText w:val="(%1)"/>
      <w:numFmt w:val="upperLetter"/>
      <w:start w:val="61"/>
    </w:lvl>
    <w:lvl w:ilvl="1">
      <w:lvlJc w:val="left"/>
      <w:lvlText w:val="%2"/>
      <w:numFmt w:val="lowerRoman"/>
      <w:start w:val="1"/>
    </w:lvl>
    <w:lvl w:ilvl="2">
      <w:lvlJc w:val="left"/>
      <w:lvlText w:val="%3"/>
      <w:numFmt w:val="lowerLetter"/>
      <w:start w:val="1"/>
    </w:lvl>
  </w:abstractNum>
  <w:abstractNum w:abstractNumId="21">
    <w:nsid w:val="3006C83E"/>
    <w:multiLevelType w:val="hybridMultilevel"/>
    <w:lvl w:ilvl="0">
      <w:lvlJc w:val="left"/>
      <w:lvlText w:val="%1."/>
      <w:numFmt w:val="decimal"/>
      <w:start w:val="2"/>
    </w:lvl>
  </w:abstractNum>
  <w:abstractNum w:abstractNumId="22">
    <w:nsid w:val="614FD4A1"/>
    <w:multiLevelType w:val="hybridMultilevel"/>
    <w:lvl w:ilvl="0">
      <w:lvlJc w:val="left"/>
      <w:lvlText w:val="(%1)"/>
      <w:numFmt w:val="lowerLetter"/>
      <w:start w:val="2"/>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2"/>
    </w:lvl>
  </w:abstractNum>
  <w:abstractNum w:abstractNumId="25">
    <w:nsid w:val="440BADFC"/>
    <w:multiLevelType w:val="hybridMultilevel"/>
    <w:lvl w:ilvl="0">
      <w:lvlJc w:val="left"/>
      <w:lvlText w:val="(%1)"/>
      <w:numFmt w:val="lowerLetter"/>
      <w:start w:val="4"/>
    </w:lvl>
  </w:abstractNum>
  <w:abstractNum w:abstractNumId="26">
    <w:nsid w:val="5072367"/>
    <w:multiLevelType w:val="hybridMultilevel"/>
    <w:lvl w:ilvl="0">
      <w:lvlJc w:val="left"/>
      <w:lvlText w:val="(%1)"/>
      <w:numFmt w:val="lowerLetter"/>
      <w:start w:val="10"/>
    </w:lvl>
  </w:abstractNum>
  <w:abstractNum w:abstractNumId="27">
    <w:nsid w:val="3804823E"/>
    <w:multiLevelType w:val="hybridMultilevel"/>
    <w:lvl w:ilvl="0">
      <w:lvlJc w:val="left"/>
      <w:lvlText w:val="%1."/>
      <w:numFmt w:val="decimal"/>
      <w:start w:val="6"/>
    </w:lvl>
  </w:abstractNum>
  <w:abstractNum w:abstractNumId="28">
    <w:nsid w:val="77465F01"/>
    <w:multiLevelType w:val="hybridMultilevel"/>
    <w:lvl w:ilvl="0">
      <w:lvlJc w:val="left"/>
      <w:lvlText w:val="(%1)"/>
      <w:numFmt w:val="lowerLetter"/>
      <w:start w:val="2"/>
    </w:lvl>
  </w:abstractNum>
  <w:abstractNum w:abstractNumId="29">
    <w:nsid w:val="7724C67E"/>
    <w:multiLevelType w:val="hybridMultilevel"/>
    <w:lvl w:ilvl="0">
      <w:lvlJc w:val="left"/>
      <w:lvlText w:val="%1."/>
      <w:numFmt w:val="decimal"/>
      <w:start w:val="7"/>
    </w:lvl>
  </w:abstractNum>
  <w:abstractNum w:abstractNumId="30">
    <w:nsid w:val="5C482A97"/>
    <w:multiLevelType w:val="hybridMultilevel"/>
    <w:lvl w:ilvl="0">
      <w:lvlJc w:val="left"/>
      <w:lvlText w:val="(%1)"/>
      <w:numFmt w:val="lowerRoman"/>
      <w:start w:val="10"/>
    </w:lvl>
    <w:lvl w:ilvl="1">
      <w:lvlJc w:val="left"/>
      <w:lvlText w:val="%2."/>
      <w:numFmt w:val="decimal"/>
      <w:start w:val="8"/>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7"/>
    </w:lvl>
  </w:abstractNum>
  <w:abstractNum w:abstractNumId="33">
    <w:nsid w:val="51EAD36B"/>
    <w:multiLevelType w:val="hybridMultilevel"/>
    <w:lvl w:ilvl="0">
      <w:lvlJc w:val="left"/>
      <w:lvlText w:val="%1."/>
      <w:numFmt w:val="decimal"/>
      <w:start w:val="9"/>
    </w:lvl>
  </w:abstractNum>
  <w:abstractNum w:abstractNumId="34">
    <w:nsid w:val="2D517796"/>
    <w:multiLevelType w:val="hybridMultilevel"/>
    <w:lvl w:ilvl="0">
      <w:lvlJc w:val="left"/>
      <w:lvlText w:val="(%1)"/>
      <w:numFmt w:val="lowerLetter"/>
      <w:start w:val="2"/>
    </w:lvl>
  </w:abstractNum>
  <w:abstractNum w:abstractNumId="35">
    <w:nsid w:val="580BD78F"/>
    <w:multiLevelType w:val="hybridMultilevel"/>
    <w:lvl w:ilvl="0">
      <w:lvlJc w:val="left"/>
      <w:lvlText w:val="(%1)"/>
      <w:numFmt w:val="lowerLetter"/>
      <w:start w:val="3"/>
    </w:lvl>
  </w:abstractNum>
  <w:abstractNum w:abstractNumId="36">
    <w:nsid w:val="153EA438"/>
    <w:multiLevelType w:val="hybridMultilevel"/>
    <w:lvl w:ilvl="0">
      <w:lvlJc w:val="left"/>
      <w:lvlText w:val="(%1)"/>
      <w:numFmt w:val="lowerLetter"/>
      <w:start w:val="6"/>
    </w:lvl>
  </w:abstractNum>
  <w:abstractNum w:abstractNumId="37">
    <w:nsid w:val="3855585C"/>
    <w:multiLevelType w:val="hybridMultilevel"/>
    <w:lvl w:ilvl="0">
      <w:lvlJc w:val="left"/>
      <w:lvlText w:val="%1."/>
      <w:numFmt w:val="decimal"/>
      <w:start w:val="10"/>
    </w:lvl>
  </w:abstractNum>
  <w:abstractNum w:abstractNumId="38">
    <w:nsid w:val="70A64E2A"/>
    <w:multiLevelType w:val="hybridMultilevel"/>
    <w:lvl w:ilvl="0">
      <w:lvlJc w:val="left"/>
      <w:lvlText w:val="%1."/>
      <w:numFmt w:val="decimal"/>
      <w:start w:val="13"/>
    </w:lvl>
  </w:abstractNum>
  <w:abstractNum w:abstractNumId="39">
    <w:nsid w:val="6A2342EC"/>
    <w:multiLevelType w:val="hybridMultilevel"/>
    <w:lvl w:ilvl="0">
      <w:lvlJc w:val="left"/>
      <w:lvlText w:val="%1"/>
      <w:numFmt w:val="lowerRoman"/>
      <w:start w:val="1"/>
    </w:lvl>
    <w:lvl w:ilvl="1">
      <w:lvlJc w:val="left"/>
      <w:lvlText w:val="%2."/>
      <w:numFmt w:val="decimal"/>
      <w:start w:val="14"/>
    </w:lvl>
  </w:abstractNum>
  <w:abstractNum w:abstractNumId="40">
    <w:nsid w:val="2A487CB0"/>
    <w:multiLevelType w:val="hybridMultilevel"/>
    <w:lvl w:ilvl="0">
      <w:lvlJc w:val="left"/>
      <w:lvlText w:val="(%1)"/>
      <w:numFmt w:val="lowerRoman"/>
      <w:start w:val="3"/>
    </w:lvl>
    <w:lvl w:ilvl="1">
      <w:lvlJc w:val="left"/>
      <w:lvlText w:val="%2."/>
      <w:numFmt w:val="decimal"/>
      <w:start w:val="16"/>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Roman"/>
      <w:start w:val="8"/>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2019-12-07T00:25:26Z</dcterms:created>
  <dcterms:modified xsi:type="dcterms:W3CDTF">2019-12-07T00:25:26Z</dcterms:modified>
</cp:coreProperties>
</file>