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jc w:val="center"/>
        <w:ind w:left="444" w:right="1940"/>
        <w:spacing w:after="0" w:line="264" w:lineRule="auto"/>
        <w:rPr>
          <w:sz w:val="20"/>
          <w:szCs w:val="20"/>
          <w:color w:val="auto"/>
        </w:rPr>
      </w:pPr>
      <w:r>
        <w:rPr>
          <w:rFonts w:ascii="Times New Roman" w:cs="Times New Roman" w:eastAsia="Times New Roman" w:hAnsi="Times New Roman"/>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44" w:space="720"/>
            <w:col w:w="326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Current Report on Form 8-K/A (this “</w:t>
      </w:r>
      <w:r>
        <w:rPr>
          <w:rFonts w:ascii="Times New Roman" w:cs="Times New Roman" w:eastAsia="Times New Roman" w:hAnsi="Times New Roman"/>
          <w:sz w:val="18"/>
          <w:szCs w:val="18"/>
          <w:b w:val="1"/>
          <w:bCs w:val="1"/>
          <w:i w:val="1"/>
          <w:iCs w:val="1"/>
          <w:color w:val="auto"/>
        </w:rPr>
        <w:t>Form 8-K/A</w:t>
      </w:r>
      <w:r>
        <w:rPr>
          <w:rFonts w:ascii="Times New Roman" w:cs="Times New Roman" w:eastAsia="Times New Roman" w:hAnsi="Times New Roman"/>
          <w:sz w:val="18"/>
          <w:szCs w:val="18"/>
          <w:color w:val="auto"/>
        </w:rPr>
        <w:t>”) amends the Current Report on Form 8-K, dated March 11, 2025, that was filed with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March 14, 2025 (the “</w:t>
      </w:r>
      <w:r>
        <w:rPr>
          <w:rFonts w:ascii="Times New Roman" w:cs="Times New Roman" w:eastAsia="Times New Roman" w:hAnsi="Times New Roman"/>
          <w:sz w:val="18"/>
          <w:szCs w:val="18"/>
          <w:b w:val="1"/>
          <w:bCs w:val="1"/>
          <w:i w:val="1"/>
          <w:iCs w:val="1"/>
          <w:color w:val="auto"/>
        </w:rPr>
        <w:t>Initial Form 8-K</w:t>
      </w:r>
      <w:r>
        <w:rPr>
          <w:rFonts w:ascii="Times New Roman" w:cs="Times New Roman" w:eastAsia="Times New Roman" w:hAnsi="Times New Roman"/>
          <w:sz w:val="18"/>
          <w:szCs w:val="18"/>
          <w:color w:val="auto"/>
        </w:rPr>
        <w:t>”) by Magnachip Semiconductor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concerning the decision of the Audit Committee of the Board of Directors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of the Company to engage Ernst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 Han Young (“</w:t>
      </w:r>
      <w:r>
        <w:rPr>
          <w:rFonts w:ascii="Times New Roman" w:cs="Times New Roman" w:eastAsia="Times New Roman" w:hAnsi="Times New Roman"/>
          <w:sz w:val="18"/>
          <w:szCs w:val="18"/>
          <w:b w:val="1"/>
          <w:bCs w:val="1"/>
          <w:i w:val="1"/>
          <w:iCs w:val="1"/>
          <w:color w:val="auto"/>
        </w:rPr>
        <w:t>E&amp;Y</w:t>
      </w:r>
      <w:r>
        <w:rPr>
          <w:rFonts w:ascii="Times New Roman" w:cs="Times New Roman" w:eastAsia="Times New Roman" w:hAnsi="Times New Roman"/>
          <w:sz w:val="18"/>
          <w:szCs w:val="18"/>
          <w:color w:val="auto"/>
        </w:rPr>
        <w:t>”) to serve as the Company’s independent registered public accounting firm for the fiscal year ending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completion of the audit of the Company’s consolidated financial statements as of and for the fiscal years ended December 31, 2024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Samil PricewaterhouseCoopers (“</w:t>
      </w:r>
      <w:r>
        <w:rPr>
          <w:rFonts w:ascii="Times New Roman" w:cs="Times New Roman" w:eastAsia="Times New Roman" w:hAnsi="Times New Roman"/>
          <w:sz w:val="18"/>
          <w:szCs w:val="18"/>
          <w:b w:val="1"/>
          <w:bCs w:val="1"/>
          <w:i w:val="1"/>
          <w:iCs w:val="1"/>
          <w:color w:val="auto"/>
        </w:rPr>
        <w:t>Samil PWC</w:t>
      </w:r>
      <w:r>
        <w:rPr>
          <w:rFonts w:ascii="Times New Roman" w:cs="Times New Roman" w:eastAsia="Times New Roman" w:hAnsi="Times New Roman"/>
          <w:sz w:val="18"/>
          <w:szCs w:val="18"/>
          <w:color w:val="auto"/>
        </w:rPr>
        <w:t>”) and the issuance of Samil PWC’s reports thereon.</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 in Registrant’s Certifying Accountant.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reported in the Initial Form 8-K, on March 11, 2025, the Audit Committee of the Company approved the dismissal of Samil PWC as the Company’s independent registered public accounting firm, effective upon the filing of the Company’s Annual Report on Form 10-K for the fiscal year ended December 31, 2024, and the engagement of E&amp;Y to serve as the Company’s independent registered public accounting firm, for the fiscal year ending December 31, 2025, to be effective following the completion of Samil PWC’s engagement, and contingent upon the execution of a satisfactory engagement letter with the Company.</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reports of Samil PWC on the Company’s consolidated financial statements as of December 31, 2024 and December 31, 2023 and for each of the two years in the period ended December 31, 2024, did not contain any adverse opinion or disclaimer of opinion, nor were they qualified or modified as to uncertainty, audit scope or accounting principles.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2024 and December 31, 2023 and the subsequent period through March 14, 2025, the effective date of Samil PWC’s dismissal, (i) there were no “disagreements” (as defined in Item 304(a)(1)(iv) of Regulation S-K) with Samil PWC on any matter of accounting principles or practices, financial statement disclosure, or auditing scope or procedure, any of which, if not resolved to the satisfaction of Samil PWC, would have caused Samil PWC to make reference thereto in its reports on the consolidated financial statements for such fiscal years; and (ii) there were no “reportable events” (as defined in Item 304(a)(1)(v) of Regulation S-K).</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provided Samil PWC with a copy of this Form 8-K/A and requested that Samil PWC furnish the Company with a letter addressed to the U.S. Securities and Exchange Commission stating whether Samil PWC agrees with the disclosures contained herein or, if not, stating the respects in which it does not agree. The Company has received the requested letter from Samil PWC, and a copy of the letter, dated March 14, 2025, is filed as Exhibit 16.1 to this Current Report on Form 8-K.</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2024 and December 31, 2023 and through the March 14, 2025, neither the Company nor anyone on its behalf consulted with E&amp;Y regarding any of the matters set forth in Item 304(a)(2)(i) or (ii) of Regulations S-K.</w:t>
      </w:r>
    </w:p>
    <w:p>
      <w:pPr>
        <w:sectPr>
          <w:pgSz w:w="11900" w:h="16838" w:orient="portrait"/>
          <w:cols w:equalWidth="0" w:num="1">
            <w:col w:w="10860"/>
          </w:cols>
          <w:pgMar w:left="440" w:top="293"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0" w:type="dxa"/>
            <w:vAlign w:val="bottom"/>
          </w:tcPr>
          <w:p>
            <w:pPr>
              <w:spacing w:after="0"/>
              <w:rPr>
                <w:sz w:val="1"/>
                <w:szCs w:val="1"/>
                <w:color w:val="auto"/>
              </w:rPr>
            </w:pPr>
          </w:p>
        </w:tc>
      </w:tr>
      <w:tr>
        <w:trPr>
          <w:trHeight w:val="367"/>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16.1</w:t>
            </w:r>
          </w:p>
        </w:tc>
        <w:tc>
          <w:tcPr>
            <w:tcW w:w="420" w:type="dxa"/>
            <w:vAlign w:val="bottom"/>
          </w:tcPr>
          <w:p>
            <w:pPr>
              <w:spacing w:after="0"/>
              <w:rPr>
                <w:sz w:val="22"/>
                <w:szCs w:val="22"/>
                <w:color w:val="auto"/>
              </w:rPr>
            </w:pPr>
          </w:p>
        </w:tc>
        <w:tc>
          <w:tcPr>
            <w:tcW w:w="51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Letter from Samil PricewaterhouseCoopers dated as of March 14, 2025.</w:t>
            </w:r>
          </w:p>
        </w:tc>
        <w:tc>
          <w:tcPr>
            <w:tcW w:w="4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March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 :</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Magnachip Semiconductor Corporation (copy attached), which we understand will be filed with the Securities and Exchange Commission, pursuant to Item 4.01 of Form 8-K/A, as part of the Form 8-K/A of Magnachip Semiconductor Corporation dated March 11, 2025. We agree with the statements concerning our Firm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Samil PricewaterhouseCoopers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Seoul, Republic of Korea</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2025-03-14T16:23:15Z</dcterms:created>
  <dcterms:modified xsi:type="dcterms:W3CDTF">2025-03-14T16:23:15Z</dcterms:modified>
</cp:coreProperties>
</file>