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26035</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ind w:left="1020" w:hanging="281"/>
        <w:spacing w:after="0"/>
        <w:tabs>
          <w:tab w:leader="none" w:pos="10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ind w:left="1020" w:hanging="353"/>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0" w:lineRule="exact"/>
        <w:rPr>
          <w:rFonts w:ascii="MS PGothic" w:cs="MS PGothic" w:eastAsia="MS PGothic" w:hAnsi="MS PGothic"/>
          <w:sz w:val="18"/>
          <w:szCs w:val="18"/>
          <w:color w:val="auto"/>
        </w:rPr>
      </w:pPr>
    </w:p>
    <w:p>
      <w:pPr>
        <w:ind w:left="1020" w:hanging="353"/>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8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29"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6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CUSIP No. 55933J203</w:t>
            </w:r>
          </w:p>
        </w:tc>
        <w:tc>
          <w:tcPr>
            <w:tcW w:w="150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200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w w:val="84"/>
              </w:rPr>
              <w:t>Page 2 of 8 Pages</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740" w:type="dxa"/>
            <w:vAlign w:val="bottom"/>
            <w:tcBorders>
              <w:right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8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4"/>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1"/>
              </w:rPr>
              <w:t>1</w:t>
            </w:r>
          </w:p>
        </w:tc>
        <w:tc>
          <w:tcPr>
            <w:tcW w:w="77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7700" w:type="dxa"/>
            <w:vAlign w:val="bottom"/>
            <w:gridSpan w:val="4"/>
          </w:tcPr>
          <w:p>
            <w:pPr>
              <w:ind w:left="440"/>
              <w:spacing w:after="0"/>
              <w:rPr>
                <w:sz w:val="20"/>
                <w:szCs w:val="20"/>
                <w:color w:val="auto"/>
              </w:rPr>
            </w:pPr>
            <w:r>
              <w:rPr>
                <w:rFonts w:ascii="Arial" w:cs="Arial" w:eastAsia="Arial" w:hAnsi="Arial"/>
                <w:sz w:val="18"/>
                <w:szCs w:val="18"/>
                <w:color w:val="auto"/>
              </w:rPr>
              <w:t>Rubric Capital Management LP</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tcBorders>
            <w:gridSpan w:val="4"/>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81"/>
              </w:rPr>
              <w:t>2</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860" w:type="dxa"/>
            <w:vAlign w:val="bottom"/>
            <w:tcBorders>
              <w:right w:val="single" w:sz="8" w:color="auto"/>
            </w:tcBorders>
          </w:tcPr>
          <w:p>
            <w:pPr>
              <w:jc w:val="center"/>
              <w:ind w:right="17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ind w:right="15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6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1"/>
              </w:rPr>
              <w:t>4</w:t>
            </w:r>
          </w:p>
        </w:tc>
        <w:tc>
          <w:tcPr>
            <w:tcW w:w="77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7700" w:type="dxa"/>
            <w:vAlign w:val="bottom"/>
            <w:gridSpan w:val="4"/>
          </w:tcPr>
          <w:p>
            <w:pPr>
              <w:ind w:left="440"/>
              <w:spacing w:after="0"/>
              <w:rPr>
                <w:sz w:val="20"/>
                <w:szCs w:val="20"/>
                <w:color w:val="auto"/>
              </w:rPr>
            </w:pPr>
            <w:r>
              <w:rPr>
                <w:rFonts w:ascii="Arial" w:cs="Arial" w:eastAsia="Arial" w:hAnsi="Arial"/>
                <w:sz w:val="18"/>
                <w:szCs w:val="18"/>
                <w:color w:val="auto"/>
              </w:rPr>
              <w:t>State of Delaware</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3"/>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right"/>
              <w:ind w:right="626"/>
              <w:spacing w:after="0" w:line="211" w:lineRule="exact"/>
              <w:rPr>
                <w:sz w:val="20"/>
                <w:szCs w:val="20"/>
                <w:color w:val="auto"/>
              </w:rPr>
            </w:pPr>
            <w:r>
              <w:rPr>
                <w:rFonts w:ascii="Arial" w:cs="Arial" w:eastAsia="Arial" w:hAnsi="Arial"/>
                <w:sz w:val="22"/>
                <w:szCs w:val="22"/>
                <w:b w:val="1"/>
                <w:bCs w:val="1"/>
                <w:color w:val="auto"/>
              </w:rPr>
              <w:t>5</w:t>
            </w:r>
          </w:p>
        </w:tc>
        <w:tc>
          <w:tcPr>
            <w:tcW w:w="62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60" w:type="dxa"/>
            <w:vAlign w:val="bottom"/>
          </w:tcPr>
          <w:p>
            <w:pPr>
              <w:ind w:left="420"/>
              <w:spacing w:after="0"/>
              <w:rPr>
                <w:sz w:val="20"/>
                <w:szCs w:val="20"/>
                <w:color w:val="auto"/>
              </w:rPr>
            </w:pPr>
            <w:r>
              <w:rPr>
                <w:rFonts w:ascii="Arial" w:cs="Arial" w:eastAsia="Arial" w:hAnsi="Arial"/>
                <w:sz w:val="18"/>
                <w:szCs w:val="18"/>
                <w:color w:val="auto"/>
              </w:rPr>
              <w:t>0</w:t>
            </w: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86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22"/>
                <w:szCs w:val="22"/>
                <w:b w:val="1"/>
                <w:bCs w:val="1"/>
                <w:color w:val="auto"/>
              </w:rPr>
              <w:t>6</w:t>
            </w:r>
          </w:p>
        </w:tc>
        <w:tc>
          <w:tcPr>
            <w:tcW w:w="62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SHARES</w:t>
            </w:r>
          </w:p>
        </w:tc>
        <w:tc>
          <w:tcPr>
            <w:tcW w:w="1500" w:type="dxa"/>
            <w:vAlign w:val="bottom"/>
            <w:tcBorders>
              <w:right w:val="single" w:sz="8" w:color="auto"/>
            </w:tcBorders>
            <w:vMerge w:val="continue"/>
          </w:tcPr>
          <w:p>
            <w:pPr>
              <w:spacing w:after="0"/>
              <w:rPr>
                <w:sz w:val="15"/>
                <w:szCs w:val="15"/>
                <w:color w:val="auto"/>
              </w:rPr>
            </w:pPr>
          </w:p>
        </w:tc>
        <w:tc>
          <w:tcPr>
            <w:tcW w:w="6200" w:type="dxa"/>
            <w:vAlign w:val="bottom"/>
            <w:gridSpan w:val="3"/>
            <w:vMerge w:val="continue"/>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500" w:type="dxa"/>
            <w:vAlign w:val="bottom"/>
            <w:tcBorders>
              <w:right w:val="single" w:sz="8" w:color="auto"/>
            </w:tcBorders>
          </w:tcPr>
          <w:p>
            <w:pPr>
              <w:spacing w:after="0"/>
              <w:rPr>
                <w:sz w:val="18"/>
                <w:szCs w:val="18"/>
                <w:color w:val="auto"/>
              </w:rPr>
            </w:pPr>
          </w:p>
        </w:tc>
        <w:tc>
          <w:tcPr>
            <w:tcW w:w="6200" w:type="dxa"/>
            <w:vAlign w:val="bottom"/>
            <w:gridSpan w:val="3"/>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860" w:type="dxa"/>
            <w:vAlign w:val="bottom"/>
            <w:tcBorders>
              <w:left w:val="single" w:sz="8" w:color="auto"/>
              <w:right w:val="single" w:sz="8" w:color="auto"/>
            </w:tcBorders>
            <w:vMerge w:val="continue"/>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tcBorders>
              <w:left w:val="single" w:sz="8" w:color="auto"/>
              <w:right w:val="single" w:sz="8" w:color="auto"/>
            </w:tcBorders>
            <w:vMerge w:val="continue"/>
          </w:tcPr>
          <w:p>
            <w:pPr>
              <w:spacing w:after="0"/>
              <w:rPr>
                <w:sz w:val="6"/>
                <w:szCs w:val="6"/>
                <w:color w:val="auto"/>
              </w:rPr>
            </w:pPr>
          </w:p>
        </w:tc>
        <w:tc>
          <w:tcPr>
            <w:tcW w:w="1500" w:type="dxa"/>
            <w:vAlign w:val="bottom"/>
            <w:tcBorders>
              <w:right w:val="single" w:sz="8" w:color="auto"/>
            </w:tcBorders>
            <w:vMerge w:val="restart"/>
          </w:tcPr>
          <w:p>
            <w:pPr>
              <w:jc w:val="right"/>
              <w:ind w:right="626"/>
              <w:spacing w:after="0" w:line="211" w:lineRule="exact"/>
              <w:rPr>
                <w:sz w:val="20"/>
                <w:szCs w:val="20"/>
                <w:color w:val="auto"/>
              </w:rPr>
            </w:pPr>
            <w:r>
              <w:rPr>
                <w:rFonts w:ascii="Arial" w:cs="Arial" w:eastAsia="Arial" w:hAnsi="Arial"/>
                <w:sz w:val="22"/>
                <w:szCs w:val="22"/>
                <w:b w:val="1"/>
                <w:bCs w:val="1"/>
                <w:color w:val="auto"/>
              </w:rPr>
              <w:t>7</w:t>
            </w:r>
          </w:p>
        </w:tc>
        <w:tc>
          <w:tcPr>
            <w:tcW w:w="620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5"/>
                <w:szCs w:val="15"/>
                <w:color w:val="auto"/>
              </w:rPr>
              <w:t>EACH</w:t>
            </w:r>
          </w:p>
        </w:tc>
        <w:tc>
          <w:tcPr>
            <w:tcW w:w="1500" w:type="dxa"/>
            <w:vAlign w:val="bottom"/>
            <w:tcBorders>
              <w:right w:val="single" w:sz="8" w:color="auto"/>
            </w:tcBorders>
            <w:vMerge w:val="continue"/>
          </w:tcPr>
          <w:p>
            <w:pPr>
              <w:spacing w:after="0"/>
              <w:rPr>
                <w:sz w:val="11"/>
                <w:szCs w:val="11"/>
                <w:color w:val="auto"/>
              </w:rPr>
            </w:pPr>
          </w:p>
        </w:tc>
        <w:tc>
          <w:tcPr>
            <w:tcW w:w="6200" w:type="dxa"/>
            <w:vAlign w:val="bottom"/>
            <w:gridSpan w:val="3"/>
            <w:vMerge w:val="continue"/>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20"/>
                <w:szCs w:val="20"/>
                <w:color w:val="auto"/>
              </w:rPr>
            </w:pPr>
          </w:p>
        </w:tc>
        <w:tc>
          <w:tcPr>
            <w:tcW w:w="1460" w:type="dxa"/>
            <w:vAlign w:val="bottom"/>
          </w:tcPr>
          <w:p>
            <w:pPr>
              <w:ind w:left="420"/>
              <w:spacing w:after="0"/>
              <w:rPr>
                <w:sz w:val="20"/>
                <w:szCs w:val="20"/>
                <w:color w:val="auto"/>
              </w:rPr>
            </w:pPr>
            <w:r>
              <w:rPr>
                <w:rFonts w:ascii="Arial" w:cs="Arial" w:eastAsia="Arial" w:hAnsi="Arial"/>
                <w:sz w:val="18"/>
                <w:szCs w:val="18"/>
                <w:color w:val="auto"/>
              </w:rPr>
              <w:t>0</w:t>
            </w: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860" w:type="dxa"/>
            <w:vAlign w:val="bottom"/>
            <w:tcBorders>
              <w:left w:val="single" w:sz="8" w:color="auto"/>
              <w:right w:val="single" w:sz="8" w:color="auto"/>
            </w:tcBorders>
            <w:vMerge w:val="continue"/>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vMerge w:val="continue"/>
          </w:tcPr>
          <w:p>
            <w:pPr>
              <w:spacing w:after="0"/>
              <w:rPr>
                <w:sz w:val="6"/>
                <w:szCs w:val="6"/>
                <w:color w:val="auto"/>
              </w:rPr>
            </w:pPr>
          </w:p>
        </w:tc>
        <w:tc>
          <w:tcPr>
            <w:tcW w:w="1500" w:type="dxa"/>
            <w:vAlign w:val="bottom"/>
            <w:tcBorders>
              <w:right w:val="single" w:sz="8" w:color="auto"/>
            </w:tcBorders>
            <w:vMerge w:val="restart"/>
          </w:tcPr>
          <w:p>
            <w:pPr>
              <w:jc w:val="right"/>
              <w:ind w:right="626"/>
              <w:spacing w:after="0" w:line="211" w:lineRule="exact"/>
              <w:rPr>
                <w:sz w:val="20"/>
                <w:szCs w:val="20"/>
                <w:color w:val="auto"/>
              </w:rPr>
            </w:pPr>
            <w:r>
              <w:rPr>
                <w:rFonts w:ascii="Arial" w:cs="Arial" w:eastAsia="Arial" w:hAnsi="Arial"/>
                <w:sz w:val="22"/>
                <w:szCs w:val="22"/>
                <w:b w:val="1"/>
                <w:bCs w:val="1"/>
                <w:color w:val="auto"/>
              </w:rPr>
              <w:t>8</w:t>
            </w:r>
          </w:p>
        </w:tc>
        <w:tc>
          <w:tcPr>
            <w:tcW w:w="62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6200" w:type="dxa"/>
            <w:vAlign w:val="bottom"/>
            <w:gridSpan w:val="3"/>
            <w:vMerge w:val="continue"/>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200" w:type="dxa"/>
            <w:vAlign w:val="bottom"/>
            <w:gridSpan w:val="3"/>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6200" w:type="dxa"/>
            <w:vAlign w:val="bottom"/>
            <w:tcBorders>
              <w:bottom w:val="single" w:sz="8" w:color="auto"/>
            </w:tcBorders>
            <w:gridSpan w:val="3"/>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1"/>
              </w:rPr>
              <w:t>9</w:t>
            </w:r>
          </w:p>
        </w:tc>
        <w:tc>
          <w:tcPr>
            <w:tcW w:w="77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3"/>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77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60" w:type="dxa"/>
            <w:vAlign w:val="bottom"/>
            <w:tcBorders>
              <w:bottom w:val="single" w:sz="8" w:color="auto"/>
              <w:right w:val="single" w:sz="8" w:color="auto"/>
            </w:tcBorders>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1"/>
              </w:rPr>
              <w:t>11</w:t>
            </w:r>
          </w:p>
        </w:tc>
        <w:tc>
          <w:tcPr>
            <w:tcW w:w="77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Pr>
          <w:p>
            <w:pPr>
              <w:jc w:val="right"/>
              <w:ind w:right="606"/>
              <w:spacing w:after="0"/>
              <w:rPr>
                <w:sz w:val="20"/>
                <w:szCs w:val="20"/>
                <w:color w:val="auto"/>
              </w:rPr>
            </w:pPr>
            <w:r>
              <w:rPr>
                <w:rFonts w:ascii="Arial" w:cs="Arial" w:eastAsia="Arial" w:hAnsi="Arial"/>
                <w:sz w:val="18"/>
                <w:szCs w:val="18"/>
                <w:color w:val="auto"/>
              </w:rPr>
              <w:t>6.6%</w:t>
            </w:r>
          </w:p>
        </w:tc>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3"/>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w w:val="89"/>
              </w:rPr>
              <w:t>12</w:t>
            </w:r>
          </w:p>
        </w:tc>
        <w:tc>
          <w:tcPr>
            <w:tcW w:w="77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1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Pr>
          <w:p>
            <w:pPr>
              <w:ind w:left="440"/>
              <w:spacing w:after="0"/>
              <w:rPr>
                <w:sz w:val="20"/>
                <w:szCs w:val="20"/>
                <w:color w:val="auto"/>
              </w:rPr>
            </w:pPr>
            <w:r>
              <w:rPr>
                <w:rFonts w:ascii="Arial" w:cs="Arial" w:eastAsia="Arial" w:hAnsi="Arial"/>
                <w:sz w:val="18"/>
                <w:szCs w:val="18"/>
                <w:color w:val="auto"/>
              </w:rPr>
              <w:t>PN, IA</w:t>
            </w:r>
          </w:p>
        </w:tc>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1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86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CUSIP No. 55933J203</w:t>
            </w:r>
          </w:p>
        </w:tc>
        <w:tc>
          <w:tcPr>
            <w:tcW w:w="1500" w:type="dxa"/>
            <w:vAlign w:val="bottom"/>
            <w:tcBorders>
              <w:top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200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w w:val="84"/>
              </w:rPr>
              <w:t>Page 3 of 8 Pages</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740" w:type="dxa"/>
            <w:vAlign w:val="bottom"/>
            <w:tcBorders>
              <w:right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8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4"/>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b w:val="1"/>
                <w:bCs w:val="1"/>
                <w:color w:val="auto"/>
                <w:w w:val="81"/>
              </w:rPr>
              <w:t>1</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Pr>
          <w:p>
            <w:pPr>
              <w:ind w:left="440"/>
              <w:spacing w:after="0"/>
              <w:rPr>
                <w:sz w:val="20"/>
                <w:szCs w:val="20"/>
                <w:color w:val="auto"/>
              </w:rPr>
            </w:pPr>
            <w:r>
              <w:rPr>
                <w:rFonts w:ascii="Arial" w:cs="Arial" w:eastAsia="Arial" w:hAnsi="Arial"/>
                <w:sz w:val="18"/>
                <w:szCs w:val="18"/>
                <w:color w:val="auto"/>
                <w:w w:val="98"/>
              </w:rPr>
              <w:t>David Rosen</w:t>
            </w:r>
          </w:p>
        </w:tc>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1"/>
              </w:rPr>
              <w:t>2</w:t>
            </w:r>
          </w:p>
        </w:tc>
        <w:tc>
          <w:tcPr>
            <w:tcW w:w="7700" w:type="dxa"/>
            <w:vAlign w:val="bottom"/>
            <w:gridSpan w:val="4"/>
            <w:vMerge w:val="restart"/>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860" w:type="dxa"/>
            <w:vAlign w:val="bottom"/>
            <w:tcBorders>
              <w:right w:val="single" w:sz="8" w:color="auto"/>
            </w:tcBorders>
          </w:tcPr>
          <w:p>
            <w:pPr>
              <w:jc w:val="center"/>
              <w:ind w:right="170"/>
              <w:spacing w:after="0" w:line="163"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2"/>
        </w:trPr>
        <w:tc>
          <w:tcPr>
            <w:tcW w:w="1860" w:type="dxa"/>
            <w:vAlign w:val="bottom"/>
            <w:tcBorders>
              <w:left w:val="single" w:sz="8" w:color="auto"/>
              <w:right w:val="single" w:sz="8" w:color="auto"/>
            </w:tcBorders>
            <w:vMerge w:val="continue"/>
          </w:tcPr>
          <w:p>
            <w:pPr>
              <w:spacing w:after="0"/>
              <w:rPr>
                <w:sz w:val="13"/>
                <w:szCs w:val="13"/>
                <w:color w:val="auto"/>
              </w:rPr>
            </w:pPr>
          </w:p>
        </w:tc>
        <w:tc>
          <w:tcPr>
            <w:tcW w:w="7700" w:type="dxa"/>
            <w:vAlign w:val="bottom"/>
            <w:gridSpan w:val="4"/>
            <w:vMerge w:val="continue"/>
          </w:tcPr>
          <w:p>
            <w:pPr>
              <w:spacing w:after="0"/>
              <w:rPr>
                <w:sz w:val="13"/>
                <w:szCs w:val="13"/>
                <w:color w:val="auto"/>
              </w:rPr>
            </w:pPr>
          </w:p>
        </w:tc>
        <w:tc>
          <w:tcPr>
            <w:tcW w:w="1860" w:type="dxa"/>
            <w:vAlign w:val="bottom"/>
            <w:tcBorders>
              <w:right w:val="single" w:sz="8" w:color="auto"/>
            </w:tcBorders>
            <w:vMerge w:val="restart"/>
          </w:tcPr>
          <w:p>
            <w:pPr>
              <w:jc w:val="center"/>
              <w:ind w:right="15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112"/>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5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gridSpan w:val="4"/>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b w:val="1"/>
                <w:bCs w:val="1"/>
                <w:color w:val="auto"/>
                <w:w w:val="81"/>
              </w:rPr>
              <w:t>4</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7700" w:type="dxa"/>
            <w:vAlign w:val="bottom"/>
            <w:gridSpan w:val="4"/>
          </w:tcPr>
          <w:p>
            <w:pPr>
              <w:ind w:left="440"/>
              <w:spacing w:after="0"/>
              <w:rPr>
                <w:sz w:val="20"/>
                <w:szCs w:val="20"/>
                <w:color w:val="auto"/>
              </w:rPr>
            </w:pPr>
            <w:r>
              <w:rPr>
                <w:rFonts w:ascii="Arial" w:cs="Arial" w:eastAsia="Arial" w:hAnsi="Arial"/>
                <w:sz w:val="18"/>
                <w:szCs w:val="18"/>
                <w:color w:val="auto"/>
              </w:rPr>
              <w:t>United States of America</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gridSpan w:val="3"/>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right"/>
              <w:ind w:right="626"/>
              <w:spacing w:after="0" w:line="211" w:lineRule="exact"/>
              <w:rPr>
                <w:sz w:val="20"/>
                <w:szCs w:val="20"/>
                <w:color w:val="auto"/>
              </w:rPr>
            </w:pPr>
            <w:r>
              <w:rPr>
                <w:rFonts w:ascii="Arial" w:cs="Arial" w:eastAsia="Arial" w:hAnsi="Arial"/>
                <w:sz w:val="22"/>
                <w:szCs w:val="22"/>
                <w:b w:val="1"/>
                <w:bCs w:val="1"/>
                <w:color w:val="auto"/>
              </w:rPr>
              <w:t>5</w:t>
            </w:r>
          </w:p>
        </w:tc>
        <w:tc>
          <w:tcPr>
            <w:tcW w:w="62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60" w:type="dxa"/>
            <w:vAlign w:val="bottom"/>
          </w:tcPr>
          <w:p>
            <w:pPr>
              <w:ind w:left="420"/>
              <w:spacing w:after="0"/>
              <w:rPr>
                <w:sz w:val="20"/>
                <w:szCs w:val="20"/>
                <w:color w:val="auto"/>
              </w:rPr>
            </w:pPr>
            <w:r>
              <w:rPr>
                <w:rFonts w:ascii="Arial" w:cs="Arial" w:eastAsia="Arial" w:hAnsi="Arial"/>
                <w:sz w:val="18"/>
                <w:szCs w:val="18"/>
                <w:color w:val="auto"/>
              </w:rPr>
              <w:t>0</w:t>
            </w: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22"/>
                <w:szCs w:val="22"/>
                <w:b w:val="1"/>
                <w:bCs w:val="1"/>
                <w:color w:val="auto"/>
              </w:rPr>
              <w:t>6</w:t>
            </w:r>
          </w:p>
        </w:tc>
        <w:tc>
          <w:tcPr>
            <w:tcW w:w="62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500" w:type="dxa"/>
            <w:vAlign w:val="bottom"/>
            <w:tcBorders>
              <w:right w:val="single" w:sz="8" w:color="auto"/>
            </w:tcBorders>
            <w:vMerge w:val="continue"/>
          </w:tcPr>
          <w:p>
            <w:pPr>
              <w:spacing w:after="0"/>
              <w:rPr>
                <w:sz w:val="7"/>
                <w:szCs w:val="7"/>
                <w:color w:val="auto"/>
              </w:rPr>
            </w:pPr>
          </w:p>
        </w:tc>
        <w:tc>
          <w:tcPr>
            <w:tcW w:w="6200" w:type="dxa"/>
            <w:vAlign w:val="bottom"/>
            <w:gridSpan w:val="3"/>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6200" w:type="dxa"/>
            <w:vAlign w:val="bottom"/>
            <w:gridSpan w:val="3"/>
            <w:vMerge w:val="restart"/>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500" w:type="dxa"/>
            <w:vAlign w:val="bottom"/>
            <w:tcBorders>
              <w:right w:val="single" w:sz="8" w:color="auto"/>
            </w:tcBorders>
          </w:tcPr>
          <w:p>
            <w:pPr>
              <w:spacing w:after="0"/>
              <w:rPr>
                <w:sz w:val="8"/>
                <w:szCs w:val="8"/>
                <w:color w:val="auto"/>
              </w:rPr>
            </w:pPr>
          </w:p>
        </w:tc>
        <w:tc>
          <w:tcPr>
            <w:tcW w:w="6200" w:type="dxa"/>
            <w:vAlign w:val="bottom"/>
            <w:gridSpan w:val="3"/>
            <w:vMerge w:val="continue"/>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6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22"/>
                <w:szCs w:val="22"/>
                <w:b w:val="1"/>
                <w:bCs w:val="1"/>
                <w:color w:val="auto"/>
              </w:rPr>
              <w:t>7</w:t>
            </w:r>
          </w:p>
        </w:tc>
        <w:tc>
          <w:tcPr>
            <w:tcW w:w="620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500" w:type="dxa"/>
            <w:vAlign w:val="bottom"/>
            <w:tcBorders>
              <w:right w:val="single" w:sz="8" w:color="auto"/>
            </w:tcBorders>
            <w:vMerge w:val="continue"/>
          </w:tcPr>
          <w:p>
            <w:pPr>
              <w:spacing w:after="0"/>
              <w:rPr>
                <w:sz w:val="8"/>
                <w:szCs w:val="8"/>
                <w:color w:val="auto"/>
              </w:rPr>
            </w:pPr>
          </w:p>
        </w:tc>
        <w:tc>
          <w:tcPr>
            <w:tcW w:w="6200" w:type="dxa"/>
            <w:vAlign w:val="bottom"/>
            <w:gridSpan w:val="3"/>
            <w:vMerge w:val="continue"/>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46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2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9"/>
                <w:szCs w:val="9"/>
                <w:color w:val="auto"/>
              </w:rPr>
            </w:pPr>
          </w:p>
        </w:tc>
        <w:tc>
          <w:tcPr>
            <w:tcW w:w="14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6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vMerge w:val="restart"/>
          </w:tcPr>
          <w:p>
            <w:pPr>
              <w:jc w:val="right"/>
              <w:ind w:right="626"/>
              <w:spacing w:after="0" w:line="211" w:lineRule="exact"/>
              <w:rPr>
                <w:sz w:val="20"/>
                <w:szCs w:val="20"/>
                <w:color w:val="auto"/>
              </w:rPr>
            </w:pPr>
            <w:r>
              <w:rPr>
                <w:rFonts w:ascii="Arial" w:cs="Arial" w:eastAsia="Arial" w:hAnsi="Arial"/>
                <w:sz w:val="22"/>
                <w:szCs w:val="22"/>
                <w:b w:val="1"/>
                <w:bCs w:val="1"/>
                <w:color w:val="auto"/>
              </w:rPr>
              <w:t>8</w:t>
            </w:r>
          </w:p>
        </w:tc>
        <w:tc>
          <w:tcPr>
            <w:tcW w:w="62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860" w:type="dxa"/>
            <w:vAlign w:val="bottom"/>
            <w:tcBorders>
              <w:left w:val="single" w:sz="8" w:color="auto"/>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6200" w:type="dxa"/>
            <w:vAlign w:val="bottom"/>
            <w:gridSpan w:val="3"/>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200" w:type="dxa"/>
            <w:vAlign w:val="bottom"/>
            <w:gridSpan w:val="3"/>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6200" w:type="dxa"/>
            <w:vAlign w:val="bottom"/>
            <w:tcBorders>
              <w:bottom w:val="single" w:sz="8" w:color="auto"/>
            </w:tcBorders>
            <w:gridSpan w:val="3"/>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b w:val="1"/>
                <w:bCs w:val="1"/>
                <w:color w:val="auto"/>
                <w:w w:val="81"/>
              </w:rPr>
              <w:t>9</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2,250,500 shares of Common Stock</w:t>
            </w: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gridSpan w:val="3"/>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60" w:type="dxa"/>
            <w:vAlign w:val="bottom"/>
            <w:tcBorders>
              <w:right w:val="single" w:sz="8" w:color="auto"/>
            </w:tcBorders>
          </w:tcPr>
          <w:p>
            <w:pPr>
              <w:jc w:val="center"/>
              <w:ind w:right="17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8"/>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200" w:type="dxa"/>
            <w:vAlign w:val="bottom"/>
            <w:tcBorders>
              <w:bottom w:val="single" w:sz="8" w:color="auto"/>
            </w:tcBorders>
            <w:gridSpan w:val="3"/>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b w:val="1"/>
                <w:bCs w:val="1"/>
                <w:color w:val="auto"/>
                <w:w w:val="81"/>
              </w:rPr>
              <w:t>11</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Pr>
          <w:p>
            <w:pPr>
              <w:jc w:val="right"/>
              <w:ind w:right="606"/>
              <w:spacing w:after="0"/>
              <w:rPr>
                <w:sz w:val="20"/>
                <w:szCs w:val="20"/>
                <w:color w:val="auto"/>
              </w:rPr>
            </w:pPr>
            <w:r>
              <w:rPr>
                <w:rFonts w:ascii="Arial" w:cs="Arial" w:eastAsia="Arial" w:hAnsi="Arial"/>
                <w:sz w:val="18"/>
                <w:szCs w:val="18"/>
                <w:color w:val="auto"/>
              </w:rPr>
              <w:t>6.6%</w:t>
            </w:r>
          </w:p>
        </w:tc>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gridSpan w:val="3"/>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b w:val="1"/>
                <w:bCs w:val="1"/>
                <w:color w:val="auto"/>
                <w:w w:val="89"/>
              </w:rPr>
              <w:t>12</w:t>
            </w:r>
          </w:p>
        </w:tc>
        <w:tc>
          <w:tcPr>
            <w:tcW w:w="77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right w:val="single" w:sz="8" w:color="auto"/>
            </w:tcBorders>
          </w:tcPr>
          <w:p>
            <w:pPr>
              <w:spacing w:after="0"/>
              <w:rPr>
                <w:sz w:val="20"/>
                <w:szCs w:val="20"/>
                <w:color w:val="auto"/>
              </w:rPr>
            </w:pPr>
          </w:p>
        </w:tc>
        <w:tc>
          <w:tcPr>
            <w:tcW w:w="1500" w:type="dxa"/>
            <w:vAlign w:val="bottom"/>
          </w:tcPr>
          <w:p>
            <w:pPr>
              <w:ind w:left="440"/>
              <w:spacing w:after="0"/>
              <w:rPr>
                <w:sz w:val="20"/>
                <w:szCs w:val="20"/>
                <w:color w:val="auto"/>
              </w:rPr>
            </w:pPr>
            <w:r>
              <w:rPr>
                <w:rFonts w:ascii="Arial" w:cs="Arial" w:eastAsia="Arial" w:hAnsi="Arial"/>
                <w:sz w:val="18"/>
                <w:szCs w:val="18"/>
                <w:color w:val="auto"/>
              </w:rPr>
              <w:t>IN</w:t>
            </w:r>
          </w:p>
        </w:tc>
        <w:tc>
          <w:tcPr>
            <w:tcW w:w="1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82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960" w:type="dxa"/>
            <w:vAlign w:val="bottom"/>
          </w:tcPr>
          <w:p>
            <w:pPr>
              <w:spacing w:after="0"/>
              <w:rPr>
                <w:sz w:val="24"/>
                <w:szCs w:val="24"/>
                <w:color w:val="auto"/>
              </w:rPr>
            </w:pPr>
          </w:p>
        </w:tc>
        <w:tc>
          <w:tcPr>
            <w:tcW w:w="178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13G</w:t>
            </w:r>
          </w:p>
        </w:tc>
        <w:tc>
          <w:tcPr>
            <w:tcW w:w="3860" w:type="dxa"/>
            <w:vAlign w:val="bottom"/>
            <w:tcBorders>
              <w:top w:val="single" w:sz="8" w:color="auto"/>
              <w:right w:val="single" w:sz="8" w:color="auto"/>
            </w:tcBorders>
          </w:tcPr>
          <w:p>
            <w:pPr>
              <w:ind w:left="2520"/>
              <w:spacing w:after="0"/>
              <w:rPr>
                <w:sz w:val="20"/>
                <w:szCs w:val="20"/>
                <w:color w:val="auto"/>
              </w:rPr>
            </w:pPr>
            <w:r>
              <w:rPr>
                <w:rFonts w:ascii="Arial" w:cs="Arial" w:eastAsia="Arial" w:hAnsi="Arial"/>
                <w:sz w:val="18"/>
                <w:szCs w:val="18"/>
                <w:b w:val="1"/>
                <w:bCs w:val="1"/>
                <w:color w:val="auto"/>
                <w:w w:val="84"/>
              </w:rPr>
              <w:t>Page 4 of 8 Pages</w:t>
            </w:r>
          </w:p>
        </w:tc>
      </w:tr>
      <w:tr>
        <w:trPr>
          <w:trHeight w:val="41"/>
        </w:trPr>
        <w:tc>
          <w:tcPr>
            <w:tcW w:w="1240" w:type="dxa"/>
            <w:vAlign w:val="bottom"/>
            <w:tcBorders>
              <w:left w:val="single" w:sz="8" w:color="auto"/>
              <w:bottom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r>
      <w:tr>
        <w:trPr>
          <w:trHeight w:val="64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540" w:type="dxa"/>
            <w:vAlign w:val="bottom"/>
            <w:gridSpan w:val="2"/>
          </w:tcPr>
          <w:p>
            <w:pPr>
              <w:ind w:left="480"/>
              <w:spacing w:after="0"/>
              <w:rPr>
                <w:sz w:val="20"/>
                <w:szCs w:val="20"/>
                <w:color w:val="auto"/>
              </w:rPr>
            </w:pPr>
            <w:r>
              <w:rPr>
                <w:rFonts w:ascii="Arial" w:cs="Arial" w:eastAsia="Arial" w:hAnsi="Arial"/>
                <w:sz w:val="18"/>
                <w:szCs w:val="18"/>
                <w:b w:val="1"/>
                <w:bCs w:val="1"/>
                <w:color w:val="auto"/>
              </w:rPr>
              <w:t>NAME OF ISSUER:</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92"/>
        </w:trPr>
        <w:tc>
          <w:tcPr>
            <w:tcW w:w="1240" w:type="dxa"/>
            <w:vAlign w:val="bottom"/>
          </w:tcPr>
          <w:p>
            <w:pPr>
              <w:spacing w:after="0"/>
              <w:rPr>
                <w:sz w:val="24"/>
                <w:szCs w:val="24"/>
                <w:color w:val="auto"/>
              </w:rPr>
            </w:pPr>
          </w:p>
        </w:tc>
        <w:tc>
          <w:tcPr>
            <w:tcW w:w="6320" w:type="dxa"/>
            <w:vAlign w:val="bottom"/>
            <w:gridSpan w:val="5"/>
          </w:tcPr>
          <w:p>
            <w:pPr>
              <w:ind w:left="480"/>
              <w:spacing w:after="0"/>
              <w:rPr>
                <w:sz w:val="20"/>
                <w:szCs w:val="20"/>
                <w:color w:val="auto"/>
              </w:rPr>
            </w:pPr>
            <w:r>
              <w:rPr>
                <w:rFonts w:ascii="Arial" w:cs="Arial" w:eastAsia="Arial" w:hAnsi="Arial"/>
                <w:sz w:val="18"/>
                <w:szCs w:val="18"/>
                <w:color w:val="auto"/>
                <w:w w:val="91"/>
              </w:rPr>
              <w:t>The name of the issuer is MagnaChip Semiconductor Corporation (the "Issuer").</w:t>
            </w:r>
          </w:p>
        </w:tc>
        <w:tc>
          <w:tcPr>
            <w:tcW w:w="3860" w:type="dxa"/>
            <w:vAlign w:val="bottom"/>
          </w:tcPr>
          <w:p>
            <w:pPr>
              <w:spacing w:after="0"/>
              <w:rPr>
                <w:sz w:val="24"/>
                <w:szCs w:val="24"/>
                <w:color w:val="auto"/>
              </w:rPr>
            </w:pPr>
          </w:p>
        </w:tc>
      </w:tr>
      <w:tr>
        <w:trPr>
          <w:trHeight w:val="453"/>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5680" w:type="dxa"/>
            <w:vAlign w:val="bottom"/>
            <w:gridSpan w:val="3"/>
          </w:tcPr>
          <w:p>
            <w:pPr>
              <w:ind w:left="48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18"/>
        </w:trPr>
        <w:tc>
          <w:tcPr>
            <w:tcW w:w="1240" w:type="dxa"/>
            <w:vAlign w:val="bottom"/>
          </w:tcPr>
          <w:p>
            <w:pPr>
              <w:spacing w:after="0"/>
              <w:rPr>
                <w:sz w:val="24"/>
                <w:szCs w:val="24"/>
                <w:color w:val="auto"/>
              </w:rPr>
            </w:pPr>
          </w:p>
        </w:tc>
        <w:tc>
          <w:tcPr>
            <w:tcW w:w="4540" w:type="dxa"/>
            <w:vAlign w:val="bottom"/>
            <w:gridSpan w:val="2"/>
          </w:tcPr>
          <w:p>
            <w:pPr>
              <w:ind w:left="480"/>
              <w:spacing w:after="0"/>
              <w:rPr>
                <w:sz w:val="20"/>
                <w:szCs w:val="20"/>
                <w:color w:val="auto"/>
              </w:rPr>
            </w:pPr>
            <w:r>
              <w:rPr>
                <w:rFonts w:ascii="Arial" w:cs="Arial" w:eastAsia="Arial" w:hAnsi="Arial"/>
                <w:sz w:val="18"/>
                <w:szCs w:val="18"/>
                <w:color w:val="auto"/>
                <w:w w:val="95"/>
              </w:rPr>
              <w:t>The Issuer's principal executive offices are located at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4540" w:type="dxa"/>
            <w:vAlign w:val="bottom"/>
            <w:gridSpan w:val="2"/>
          </w:tcPr>
          <w:p>
            <w:pPr>
              <w:ind w:left="480"/>
              <w:spacing w:after="0"/>
              <w:rPr>
                <w:sz w:val="20"/>
                <w:szCs w:val="20"/>
                <w:color w:val="auto"/>
              </w:rPr>
            </w:pPr>
            <w:r>
              <w:rPr>
                <w:rFonts w:ascii="Arial" w:cs="Arial" w:eastAsia="Arial" w:hAnsi="Arial"/>
                <w:sz w:val="18"/>
                <w:szCs w:val="18"/>
                <w:color w:val="auto"/>
              </w:rPr>
              <w:t>c/o MagnaChip Semiconductor S.A.</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540" w:type="dxa"/>
            <w:vAlign w:val="bottom"/>
            <w:gridSpan w:val="2"/>
          </w:tcPr>
          <w:p>
            <w:pPr>
              <w:ind w:left="480"/>
              <w:spacing w:after="0"/>
              <w:rPr>
                <w:sz w:val="20"/>
                <w:szCs w:val="20"/>
                <w:color w:val="auto"/>
              </w:rPr>
            </w:pPr>
            <w:r>
              <w:rPr>
                <w:rFonts w:ascii="Arial" w:cs="Arial" w:eastAsia="Arial" w:hAnsi="Arial"/>
                <w:sz w:val="18"/>
                <w:szCs w:val="18"/>
                <w:color w:val="auto"/>
              </w:rPr>
              <w:t>1, Allée Scheffer, L-2520</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4540" w:type="dxa"/>
            <w:vAlign w:val="bottom"/>
            <w:gridSpan w:val="2"/>
          </w:tcPr>
          <w:p>
            <w:pPr>
              <w:ind w:left="480"/>
              <w:spacing w:after="0"/>
              <w:rPr>
                <w:sz w:val="20"/>
                <w:szCs w:val="20"/>
                <w:color w:val="auto"/>
              </w:rPr>
            </w:pPr>
            <w:r>
              <w:rPr>
                <w:rFonts w:ascii="Arial" w:cs="Arial" w:eastAsia="Arial" w:hAnsi="Arial"/>
                <w:sz w:val="18"/>
                <w:szCs w:val="18"/>
                <w:color w:val="auto"/>
              </w:rPr>
              <w:t>Luxembourg, Grand Duchy of Luxembourg.</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540" w:type="dxa"/>
            <w:vAlign w:val="bottom"/>
            <w:gridSpan w:val="2"/>
          </w:tcPr>
          <w:p>
            <w:pPr>
              <w:ind w:left="480"/>
              <w:spacing w:after="0"/>
              <w:rPr>
                <w:sz w:val="20"/>
                <w:szCs w:val="20"/>
                <w:color w:val="auto"/>
              </w:rPr>
            </w:pPr>
            <w:r>
              <w:rPr>
                <w:rFonts w:ascii="Arial" w:cs="Arial" w:eastAsia="Arial" w:hAnsi="Arial"/>
                <w:sz w:val="18"/>
                <w:szCs w:val="18"/>
                <w:b w:val="1"/>
                <w:bCs w:val="1"/>
                <w:color w:val="auto"/>
              </w:rPr>
              <w:t>NAME OF PERSON FILING:</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4540" w:type="dxa"/>
            <w:vAlign w:val="bottom"/>
            <w:gridSpan w:val="2"/>
          </w:tcPr>
          <w:p>
            <w:pPr>
              <w:ind w:left="480"/>
              <w:spacing w:after="0"/>
              <w:rPr>
                <w:sz w:val="20"/>
                <w:szCs w:val="20"/>
                <w:color w:val="auto"/>
              </w:rPr>
            </w:pPr>
            <w:r>
              <w:rPr>
                <w:rFonts w:ascii="Arial" w:cs="Arial" w:eastAsia="Arial" w:hAnsi="Arial"/>
                <w:sz w:val="18"/>
                <w:szCs w:val="18"/>
                <w:color w:val="auto"/>
              </w:rPr>
              <w:t>This statement is filed by:</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02" w:lineRule="exact"/>
        <w:rPr>
          <w:sz w:val="20"/>
          <w:szCs w:val="20"/>
          <w:color w:val="auto"/>
        </w:rPr>
      </w:pPr>
    </w:p>
    <w:p>
      <w:pPr>
        <w:ind w:left="2620" w:right="260" w:hanging="800"/>
        <w:spacing w:after="0" w:line="342" w:lineRule="auto"/>
        <w:tabs>
          <w:tab w:leader="none" w:pos="2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Rubric Capital Management LP ("</w:t>
      </w:r>
      <w:r>
        <w:rPr>
          <w:rFonts w:ascii="Arial" w:cs="Arial" w:eastAsia="Arial" w:hAnsi="Arial"/>
          <w:sz w:val="16"/>
          <w:szCs w:val="16"/>
          <w:u w:val="single" w:color="auto"/>
          <w:color w:val="auto"/>
        </w:rPr>
        <w:t>Rubric Capital</w:t>
      </w:r>
      <w:r>
        <w:rPr>
          <w:rFonts w:ascii="Arial" w:cs="Arial" w:eastAsia="Arial" w:hAnsi="Arial"/>
          <w:sz w:val="16"/>
          <w:szCs w:val="16"/>
          <w:color w:val="auto"/>
        </w:rPr>
        <w:t>"), the investment adviser to certain investment funds and/or accounts (collectively, the "</w:t>
      </w:r>
      <w:r>
        <w:rPr>
          <w:rFonts w:ascii="Arial" w:cs="Arial" w:eastAsia="Arial" w:hAnsi="Arial"/>
          <w:sz w:val="16"/>
          <w:szCs w:val="16"/>
          <w:u w:val="single" w:color="auto"/>
          <w:color w:val="auto"/>
        </w:rPr>
        <w:t>Rubric Funds</w:t>
      </w:r>
      <w:r>
        <w:rPr>
          <w:rFonts w:ascii="Arial" w:cs="Arial" w:eastAsia="Arial" w:hAnsi="Arial"/>
          <w:sz w:val="16"/>
          <w:szCs w:val="16"/>
          <w:color w:val="auto"/>
        </w:rPr>
        <w:t>") the shares of Common Stock (as defined in Item 2(d) below) reported herein; and</w:t>
      </w:r>
    </w:p>
    <w:p>
      <w:pPr>
        <w:spacing w:after="0" w:line="123" w:lineRule="exact"/>
        <w:rPr>
          <w:rFonts w:ascii="Arial" w:cs="Arial" w:eastAsia="Arial" w:hAnsi="Arial"/>
          <w:sz w:val="16"/>
          <w:szCs w:val="16"/>
          <w:color w:val="auto"/>
        </w:rPr>
      </w:pPr>
    </w:p>
    <w:p>
      <w:pPr>
        <w:ind w:left="2620" w:right="220" w:hanging="800"/>
        <w:spacing w:after="0" w:line="277" w:lineRule="auto"/>
        <w:tabs>
          <w:tab w:leader="none" w:pos="2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The foregoing persons are hereinafter sometimes collectively referred to as the "Reporting Persons."</w:t>
            </w:r>
          </w:p>
        </w:tc>
      </w:tr>
      <w:tr>
        <w:trPr>
          <w:trHeight w:val="20"/>
        </w:trPr>
        <w:tc>
          <w:tcPr>
            <w:tcW w:w="1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w w:val="92"/>
              </w:rPr>
              <w:t>The filing of this statement should not be construed as an admission that any of the forgoing persons or any Reporting Person is, for</w:t>
            </w:r>
          </w:p>
        </w:tc>
      </w:tr>
      <w:tr>
        <w:trPr>
          <w:trHeight w:val="230"/>
        </w:trPr>
        <w:tc>
          <w:tcPr>
            <w:tcW w:w="1300" w:type="dxa"/>
            <w:vAlign w:val="bottom"/>
          </w:tcPr>
          <w:p>
            <w:pPr>
              <w:spacing w:after="0"/>
              <w:rPr>
                <w:sz w:val="20"/>
                <w:szCs w:val="20"/>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the purposes of Section 13 of the Act, the beneficial owner of the Shares reported herein.</w:t>
            </w:r>
          </w:p>
        </w:tc>
      </w:tr>
      <w:tr>
        <w:trPr>
          <w:trHeight w:val="432"/>
        </w:trPr>
        <w:tc>
          <w:tcPr>
            <w:tcW w:w="130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10120" w:type="dxa"/>
            <w:vAlign w:val="bottom"/>
            <w:gridSpan w:val="5"/>
          </w:tcPr>
          <w:p>
            <w:pPr>
              <w:ind w:left="4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596"/>
        </w:trPr>
        <w:tc>
          <w:tcPr>
            <w:tcW w:w="1300" w:type="dxa"/>
            <w:vAlign w:val="bottom"/>
          </w:tcPr>
          <w:p>
            <w:pPr>
              <w:spacing w:after="0"/>
              <w:rPr>
                <w:sz w:val="24"/>
                <w:szCs w:val="24"/>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The address of the principal business office of each of the Reporting Persons is 767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NY 10017.</w:t>
            </w:r>
          </w:p>
        </w:tc>
      </w:tr>
      <w:tr>
        <w:trPr>
          <w:trHeight w:val="30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120" w:type="dxa"/>
            <w:vAlign w:val="bottom"/>
            <w:gridSpan w:val="5"/>
          </w:tcPr>
          <w:p>
            <w:pPr>
              <w:ind w:left="420"/>
              <w:spacing w:after="0"/>
              <w:rPr>
                <w:sz w:val="20"/>
                <w:szCs w:val="20"/>
                <w:color w:val="auto"/>
              </w:rPr>
            </w:pPr>
            <w:r>
              <w:rPr>
                <w:rFonts w:ascii="Arial" w:cs="Arial" w:eastAsia="Arial" w:hAnsi="Arial"/>
                <w:sz w:val="18"/>
                <w:szCs w:val="18"/>
                <w:b w:val="1"/>
                <w:bCs w:val="1"/>
                <w:color w:val="auto"/>
              </w:rPr>
              <w:t>CITIZENSHIP:</w:t>
            </w:r>
          </w:p>
        </w:tc>
      </w:tr>
      <w:tr>
        <w:trPr>
          <w:trHeight w:val="432"/>
        </w:trPr>
        <w:tc>
          <w:tcPr>
            <w:tcW w:w="1300" w:type="dxa"/>
            <w:vAlign w:val="bottom"/>
          </w:tcPr>
          <w:p>
            <w:pPr>
              <w:spacing w:after="0"/>
              <w:rPr>
                <w:sz w:val="24"/>
                <w:szCs w:val="24"/>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120" w:type="dxa"/>
            <w:vAlign w:val="bottom"/>
            <w:gridSpan w:val="5"/>
          </w:tcPr>
          <w:p>
            <w:pPr>
              <w:ind w:left="420"/>
              <w:spacing w:after="0"/>
              <w:rPr>
                <w:sz w:val="20"/>
                <w:szCs w:val="20"/>
                <w:color w:val="auto"/>
              </w:rPr>
            </w:pPr>
            <w:r>
              <w:rPr>
                <w:rFonts w:ascii="Arial" w:cs="Arial" w:eastAsia="Arial" w:hAnsi="Arial"/>
                <w:sz w:val="18"/>
                <w:szCs w:val="18"/>
                <w:b w:val="1"/>
                <w:bCs w:val="1"/>
                <w:color w:val="auto"/>
              </w:rPr>
              <w:t>TITLE OF CLASS OF SECURITIES:</w:t>
            </w:r>
          </w:p>
        </w:tc>
      </w:tr>
      <w:tr>
        <w:trPr>
          <w:trHeight w:val="392"/>
        </w:trPr>
        <w:tc>
          <w:tcPr>
            <w:tcW w:w="1300" w:type="dxa"/>
            <w:vAlign w:val="bottom"/>
          </w:tcPr>
          <w:p>
            <w:pPr>
              <w:spacing w:after="0"/>
              <w:rPr>
                <w:sz w:val="24"/>
                <w:szCs w:val="24"/>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Common stock, $0.01 par value per share (the "Common Stock").</w:t>
            </w:r>
          </w:p>
        </w:tc>
      </w:tr>
      <w:tr>
        <w:trPr>
          <w:trHeight w:val="453"/>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3860" w:type="dxa"/>
            <w:vAlign w:val="bottom"/>
          </w:tcPr>
          <w:p>
            <w:pPr>
              <w:ind w:left="420"/>
              <w:spacing w:after="0"/>
              <w:rPr>
                <w:sz w:val="20"/>
                <w:szCs w:val="20"/>
                <w:color w:val="auto"/>
              </w:rPr>
            </w:pPr>
            <w:r>
              <w:rPr>
                <w:rFonts w:ascii="Arial" w:cs="Arial" w:eastAsia="Arial" w:hAnsi="Arial"/>
                <w:sz w:val="18"/>
                <w:szCs w:val="18"/>
                <w:b w:val="1"/>
                <w:bCs w:val="1"/>
                <w:color w:val="auto"/>
              </w:rPr>
              <w:t>CUSIP NUMBER:</w:t>
            </w:r>
          </w:p>
        </w:tc>
        <w:tc>
          <w:tcPr>
            <w:tcW w:w="1140" w:type="dxa"/>
            <w:vAlign w:val="bottom"/>
            <w:tcBorders>
              <w:top w:val="single" w:sz="8" w:color="auto"/>
            </w:tcBorders>
          </w:tcPr>
          <w:p>
            <w:pPr>
              <w:spacing w:after="0"/>
              <w:rPr>
                <w:sz w:val="24"/>
                <w:szCs w:val="24"/>
                <w:color w:val="auto"/>
              </w:rPr>
            </w:pPr>
          </w:p>
        </w:tc>
        <w:tc>
          <w:tcPr>
            <w:tcW w:w="5120" w:type="dxa"/>
            <w:vAlign w:val="bottom"/>
            <w:gridSpan w:val="3"/>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color w:val="auto"/>
              </w:rPr>
              <w:t>55933J203</w:t>
            </w:r>
          </w:p>
        </w:tc>
      </w:tr>
      <w:tr>
        <w:trPr>
          <w:trHeight w:val="41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20" w:type="dxa"/>
            <w:vAlign w:val="bottom"/>
            <w:gridSpan w:val="5"/>
          </w:tcPr>
          <w:p>
            <w:pPr>
              <w:ind w:left="42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w:t>
            </w:r>
          </w:p>
        </w:tc>
      </w:tr>
      <w:tr>
        <w:trPr>
          <w:trHeight w:val="234"/>
        </w:trPr>
        <w:tc>
          <w:tcPr>
            <w:tcW w:w="1300" w:type="dxa"/>
            <w:vAlign w:val="bottom"/>
          </w:tcPr>
          <w:p>
            <w:pPr>
              <w:spacing w:after="0"/>
              <w:rPr>
                <w:sz w:val="20"/>
                <w:szCs w:val="20"/>
                <w:color w:val="auto"/>
              </w:rPr>
            </w:pPr>
          </w:p>
        </w:tc>
        <w:tc>
          <w:tcPr>
            <w:tcW w:w="10120" w:type="dxa"/>
            <w:vAlign w:val="bottom"/>
            <w:gridSpan w:val="5"/>
          </w:tcPr>
          <w:p>
            <w:pPr>
              <w:ind w:left="420"/>
              <w:spacing w:after="0"/>
              <w:rPr>
                <w:sz w:val="20"/>
                <w:szCs w:val="20"/>
                <w:color w:val="auto"/>
              </w:rPr>
            </w:pPr>
            <w:r>
              <w:rPr>
                <w:rFonts w:ascii="Arial" w:cs="Arial" w:eastAsia="Arial" w:hAnsi="Arial"/>
                <w:sz w:val="18"/>
                <w:szCs w:val="18"/>
                <w:b w:val="1"/>
                <w:bCs w:val="1"/>
                <w:color w:val="auto"/>
              </w:rPr>
              <w:t>PERSON FILING IS A:</w:t>
            </w:r>
          </w:p>
        </w:tc>
      </w:tr>
      <w:tr>
        <w:trPr>
          <w:trHeight w:val="675"/>
        </w:trPr>
        <w:tc>
          <w:tcPr>
            <w:tcW w:w="1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8" w:right="239" w:bottom="1440" w:gutter="0" w:footer="0" w:header="0"/>
        </w:sectPr>
      </w:pPr>
    </w:p>
    <w:bookmarkStart w:id="4" w:name="page5"/>
    <w:bookmarkEnd w:id="4"/>
    <w:p>
      <w:pPr>
        <w:ind w:left="20"/>
        <w:spacing w:after="0"/>
        <w:tabs>
          <w:tab w:leader="none" w:pos="5900" w:val="left"/>
          <w:tab w:leader="none" w:pos="9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31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300"/>
          </w:cols>
          <w:pgMar w:left="340" w:top="297" w:right="2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57" w:lineRule="exact"/>
        <w:rPr>
          <w:rFonts w:ascii="Arial" w:cs="Arial" w:eastAsia="Arial" w:hAnsi="Arial"/>
          <w:sz w:val="18"/>
          <w:szCs w:val="18"/>
          <w:color w:val="auto"/>
        </w:rPr>
      </w:pPr>
    </w:p>
    <w:p>
      <w:pPr>
        <w:ind w:left="2560" w:hanging="840"/>
        <w:spacing w:after="0"/>
        <w:tabs>
          <w:tab w:leader="none" w:pos="2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w:t>
      </w:r>
      <w:r>
        <w:rPr>
          <w:rFonts w:ascii="Arial" w:cs="Arial" w:eastAsia="Arial" w:hAnsi="Arial"/>
          <w:sz w:val="16"/>
          <w:szCs w:val="16"/>
          <w:color w:val="auto"/>
        </w:rPr>
        <w:t>An investment adviser in accordance with Rule 13d-1(b)(1)(ii)(E);</w:t>
      </w:r>
    </w:p>
    <w:p>
      <w:pPr>
        <w:spacing w:after="0" w:line="192"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57" w:lineRule="exact"/>
        <w:rPr>
          <w:rFonts w:ascii="Arial" w:cs="Arial" w:eastAsia="Arial" w:hAnsi="Arial"/>
          <w:sz w:val="18"/>
          <w:szCs w:val="18"/>
          <w:color w:val="auto"/>
        </w:rPr>
      </w:pPr>
    </w:p>
    <w:p>
      <w:pPr>
        <w:ind w:left="2560" w:hanging="840"/>
        <w:spacing w:after="0"/>
        <w:tabs>
          <w:tab w:leader="none" w:pos="2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ý</w:t>
      </w:r>
      <w:r>
        <w:rPr>
          <w:rFonts w:ascii="Arial" w:cs="Arial" w:eastAsia="Arial" w:hAnsi="Arial"/>
          <w:sz w:val="16"/>
          <w:szCs w:val="16"/>
          <w:color w:val="auto"/>
        </w:rPr>
        <w:t>Parent Holding Company or control person in accordance with Rule 13d-1(b)(1)(ii)(G),</w:t>
      </w:r>
    </w:p>
    <w:p>
      <w:pPr>
        <w:spacing w:after="0" w:line="192"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2980" w:right="640" w:hanging="1260"/>
        <w:spacing w:after="0" w:line="239" w:lineRule="exact"/>
        <w:tabs>
          <w:tab w:leader="none" w:pos="2518"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2520" w:hanging="800"/>
        <w:spacing w:after="0" w:line="207" w:lineRule="exact"/>
        <w:tabs>
          <w:tab w:leader="none" w:pos="25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0" w:lineRule="exact"/>
        <w:rPr>
          <w:sz w:val="20"/>
          <w:szCs w:val="20"/>
          <w:color w:val="auto"/>
        </w:rPr>
      </w:pPr>
    </w:p>
    <w:p>
      <w:pPr>
        <w:spacing w:after="0" w:line="27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_____________________________________</w:t>
      </w:r>
    </w:p>
    <w:p>
      <w:pPr>
        <w:spacing w:after="0" w:line="20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620" w:right="3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ind w:left="1620" w:right="240"/>
        <w:spacing w:after="0" w:line="286" w:lineRule="auto"/>
        <w:rPr>
          <w:sz w:val="20"/>
          <w:szCs w:val="20"/>
          <w:color w:val="auto"/>
        </w:rPr>
      </w:pPr>
      <w:r>
        <w:rPr>
          <w:rFonts w:ascii="Arial" w:cs="Arial" w:eastAsia="Arial" w:hAnsi="Arial"/>
          <w:sz w:val="17"/>
          <w:szCs w:val="17"/>
          <w:color w:val="auto"/>
        </w:rPr>
        <w:t>The percentage set forth in Row (11) of the cover page for each of the Reporting Persons is based on the 34,138,289 shares of Common Stock outstanding as of October 31, 2017, as reported in the Company's Quarterly Report on Form 10-Q for the quarterly period ended September 30, 2017 filed with the Securities and Exchange Commission on November 8, 2017.</w:t>
      </w:r>
    </w:p>
    <w:p>
      <w:pPr>
        <w:spacing w:after="0" w:line="16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620" w:right="380"/>
        <w:spacing w:after="0" w:line="277" w:lineRule="auto"/>
        <w:rPr>
          <w:sz w:val="20"/>
          <w:szCs w:val="20"/>
          <w:color w:val="auto"/>
        </w:rPr>
      </w:pPr>
      <w:r>
        <w:rPr>
          <w:rFonts w:ascii="Arial" w:cs="Arial" w:eastAsia="Arial" w:hAnsi="Arial"/>
          <w:sz w:val="18"/>
          <w:szCs w:val="18"/>
          <w:color w:val="auto"/>
        </w:rPr>
        <w:t>See Item 2. Rubric Capital Master Fund LP, a Rubric Fund, has the right to receive or the power to direct the receipt of dividends from, or the proceeds from the sale of, more than 5%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40" w:top="297" w:right="259" w:bottom="1440" w:gutter="0" w:footer="0" w:header="0"/>
          <w:type w:val="continuous"/>
        </w:sectPr>
      </w:pPr>
    </w:p>
    <w:bookmarkStart w:id="5" w:name="page6"/>
    <w:bookmarkEnd w:id="5"/>
    <w:p>
      <w:pPr>
        <w:ind w:left="20"/>
        <w:spacing w:after="0"/>
        <w:tabs>
          <w:tab w:leader="none" w:pos="5900" w:val="left"/>
          <w:tab w:leader="none" w:pos="9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320"/>
          </w:cols>
          <w:pgMar w:left="340" w:top="297"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620" w:hanging="1617"/>
        <w:spacing w:after="0" w:line="282" w:lineRule="auto"/>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620" w:right="12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297" w:right="2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311"/>
        </w:trPr>
        <w:tc>
          <w:tcPr>
            <w:tcW w:w="4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3860" w:type="dxa"/>
            <w:vAlign w:val="bottom"/>
            <w:tcBorders>
              <w:top w:val="single" w:sz="8" w:color="auto"/>
              <w:right w:val="single" w:sz="8" w:color="auto"/>
            </w:tcBorders>
          </w:tcPr>
          <w:p>
            <w:pPr>
              <w:ind w:left="2520"/>
              <w:spacing w:after="0"/>
              <w:rPr>
                <w:sz w:val="20"/>
                <w:szCs w:val="20"/>
                <w:color w:val="auto"/>
              </w:rPr>
            </w:pPr>
            <w:r>
              <w:rPr>
                <w:rFonts w:ascii="Arial" w:cs="Arial" w:eastAsia="Arial" w:hAnsi="Arial"/>
                <w:sz w:val="18"/>
                <w:szCs w:val="18"/>
                <w:b w:val="1"/>
                <w:bCs w:val="1"/>
                <w:color w:val="auto"/>
                <w:w w:val="84"/>
              </w:rPr>
              <w:t>Page 7 of 8 Pages</w:t>
            </w:r>
          </w:p>
        </w:tc>
      </w:tr>
      <w:tr>
        <w:trPr>
          <w:trHeight w:val="41"/>
        </w:trPr>
        <w:tc>
          <w:tcPr>
            <w:tcW w:w="482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right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5519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73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11"/>
        </w:trPr>
        <w:tc>
          <w:tcPr>
            <w:tcW w:w="4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2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13G</w:t>
            </w:r>
          </w:p>
        </w:tc>
        <w:tc>
          <w:tcPr>
            <w:tcW w:w="3860" w:type="dxa"/>
            <w:vAlign w:val="bottom"/>
            <w:tcBorders>
              <w:top w:val="single" w:sz="8" w:color="auto"/>
              <w:right w:val="single" w:sz="8" w:color="auto"/>
            </w:tcBorders>
          </w:tcPr>
          <w:p>
            <w:pPr>
              <w:ind w:left="2520"/>
              <w:spacing w:after="0"/>
              <w:rPr>
                <w:sz w:val="20"/>
                <w:szCs w:val="20"/>
                <w:color w:val="auto"/>
              </w:rPr>
            </w:pPr>
            <w:r>
              <w:rPr>
                <w:rFonts w:ascii="Arial" w:cs="Arial" w:eastAsia="Arial" w:hAnsi="Arial"/>
                <w:sz w:val="18"/>
                <w:szCs w:val="18"/>
                <w:b w:val="1"/>
                <w:bCs w:val="1"/>
                <w:color w:val="auto"/>
                <w:w w:val="84"/>
              </w:rPr>
              <w:t>Page 8 of 8 Pages</w:t>
            </w:r>
          </w:p>
        </w:tc>
      </w:tr>
      <w:tr>
        <w:trPr>
          <w:trHeight w:val="41"/>
        </w:trPr>
        <w:tc>
          <w:tcPr>
            <w:tcW w:w="482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right w:val="single" w:sz="8" w:color="auto"/>
            </w:tcBorders>
          </w:tcPr>
          <w:p>
            <w:pPr>
              <w:spacing w:after="0"/>
              <w:rPr>
                <w:sz w:val="3"/>
                <w:szCs w:val="3"/>
                <w:color w:val="auto"/>
              </w:rPr>
            </w:pPr>
          </w:p>
        </w:tc>
        <w:tc>
          <w:tcPr>
            <w:tcW w:w="38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ACQUISITION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551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Nachmani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73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ý"/>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2019-12-07T01:48:47Z</dcterms:created>
  <dcterms:modified xsi:type="dcterms:W3CDTF">2019-12-07T01:48:47Z</dcterms:modified>
</cp:coreProperties>
</file>