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79"/>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ind w:left="1020"/>
        <w:spacing w:after="0"/>
        <w:rPr>
          <w:sz w:val="20"/>
          <w:szCs w:val="20"/>
          <w:color w:val="auto"/>
        </w:rPr>
      </w:pPr>
      <w:r>
        <w:rPr>
          <w:rFonts w:ascii="Arial" w:cs="Arial" w:eastAsia="Arial" w:hAnsi="Arial"/>
          <w:sz w:val="13"/>
          <w:szCs w:val="13"/>
          <w:b w:val="1"/>
          <w:bCs w:val="1"/>
          <w:color w:val="auto"/>
        </w:rPr>
        <w:t>(State or other jurisdiction of</w:t>
      </w:r>
    </w:p>
    <w:p>
      <w:pPr>
        <w:ind w:left="1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Luxembourg, Grand Duchy of Luxembourg</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1360"/>
          </w:cols>
          <w:pgMar w:left="240" w:top="368" w:right="299" w:bottom="1440" w:gutter="0" w:footer="0" w:header="0"/>
          <w:type w:val="continuous"/>
        </w:sectPr>
      </w:pP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Theodore S. Kim</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Chief Compliance Officer, Executive Vice President, General Counsel and Secretary</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 MagnaChip Semiconductor, Inc.</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60 South Market Street, Suite 750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Jose, CA 95113</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Telephone: (408) 625-5999</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Fax: (408) 625-5990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Conflict Minerals Disclosure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MagnaChip Semiconductor Corporation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conducted a good faith reasonable country of origin inquiry (“</w:t>
      </w:r>
      <w:r>
        <w:rPr>
          <w:rFonts w:ascii="Arial" w:cs="Arial" w:eastAsia="Arial" w:hAnsi="Arial"/>
          <w:sz w:val="18"/>
          <w:szCs w:val="18"/>
          <w:b w:val="1"/>
          <w:bCs w:val="1"/>
          <w:i w:val="1"/>
          <w:iCs w:val="1"/>
          <w:color w:val="auto"/>
        </w:rPr>
        <w:t>RCOI</w:t>
      </w:r>
      <w:r>
        <w:rPr>
          <w:rFonts w:ascii="Arial" w:cs="Arial" w:eastAsia="Arial" w:hAnsi="Arial"/>
          <w:sz w:val="18"/>
          <w:szCs w:val="18"/>
          <w:color w:val="auto"/>
        </w:rPr>
        <w:t>”) regarding the conflict minerals included in its products for the reporting period from January 1, 2017 to December 31, 2017. The results of the Company’s RCOI regarding the conflict minerals included in its products, as well as its additional due diligence regarding the sources of such conflict minerals, are contained in the Company’s Conflict Minerals Report, a copy of which is filed as Exhibit 1.01 to this Form SD, and is publicly available at http://www.magnachip.com/AboutUs/Policy.php. The content on, or accessible through, any web site referred to in this Form SD is not incorporated by reference into this Form SD unless expressly noted.</w:t>
      </w:r>
    </w:p>
    <w:p>
      <w:pPr>
        <w:spacing w:after="0" w:line="3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specified in Section 2 of Form SD, the Company is hereby filing its Conflict Minerals Report required by Items 1.01 and 1.02 as Exhibit 1.01 to this Form SD.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 Exhibits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filed as part of this Form SD.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4580" w:type="dxa"/>
            <w:vAlign w:val="bottom"/>
          </w:tcPr>
          <w:p>
            <w:pPr>
              <w:spacing w:after="0"/>
              <w:rPr>
                <w:sz w:val="14"/>
                <w:szCs w:val="1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680" w:type="dxa"/>
            <w:vAlign w:val="bottom"/>
            <w:gridSpan w:val="3"/>
          </w:tcPr>
          <w:p>
            <w:pPr>
              <w:jc w:val="center"/>
              <w:ind w:left="690"/>
              <w:spacing w:after="0"/>
              <w:rPr>
                <w:sz w:val="20"/>
                <w:szCs w:val="20"/>
                <w:color w:val="auto"/>
              </w:rPr>
            </w:pPr>
            <w:r>
              <w:rPr>
                <w:rFonts w:ascii="Arial" w:cs="Arial" w:eastAsia="Arial" w:hAnsi="Arial"/>
                <w:sz w:val="18"/>
                <w:szCs w:val="18"/>
                <w:color w:val="auto"/>
                <w:w w:val="91"/>
              </w:rPr>
              <w:t>Conflict Minerals Report of MagnaChip Semiconductor Corporation for the reporting period from January 1, 2017 to December 31, 2017</w:t>
            </w:r>
          </w:p>
        </w:tc>
      </w:tr>
      <w:tr>
        <w:trPr>
          <w:trHeight w:val="365"/>
        </w:trPr>
        <w:tc>
          <w:tcPr>
            <w:tcW w:w="720" w:type="dxa"/>
            <w:vAlign w:val="bottom"/>
          </w:tcPr>
          <w:p>
            <w:pPr>
              <w:spacing w:after="0"/>
              <w:rPr>
                <w:sz w:val="24"/>
                <w:szCs w:val="24"/>
                <w:color w:val="auto"/>
              </w:rPr>
            </w:pPr>
          </w:p>
        </w:tc>
        <w:tc>
          <w:tcPr>
            <w:tcW w:w="538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CORPORATION</w:t>
            </w: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By:  /s/ Theodore S. Kim</w:t>
            </w:r>
          </w:p>
        </w:tc>
        <w:tc>
          <w:tcPr>
            <w:tcW w:w="560" w:type="dxa"/>
            <w:vAlign w:val="bottom"/>
          </w:tcPr>
          <w:p>
            <w:pPr>
              <w:spacing w:after="0"/>
              <w:rPr>
                <w:sz w:val="24"/>
                <w:szCs w:val="24"/>
                <w:color w:val="auto"/>
              </w:rPr>
            </w:pPr>
          </w:p>
        </w:tc>
        <w:tc>
          <w:tcPr>
            <w:tcW w:w="5240" w:type="dxa"/>
            <w:vAlign w:val="bottom"/>
          </w:tcPr>
          <w:p>
            <w:pPr>
              <w:jc w:val="center"/>
              <w:ind w:left="30"/>
              <w:spacing w:after="0"/>
              <w:rPr>
                <w:sz w:val="20"/>
                <w:szCs w:val="20"/>
                <w:color w:val="auto"/>
              </w:rPr>
            </w:pPr>
            <w:r>
              <w:rPr>
                <w:rFonts w:ascii="Arial" w:cs="Arial" w:eastAsia="Arial" w:hAnsi="Arial"/>
                <w:sz w:val="18"/>
                <w:szCs w:val="18"/>
                <w:color w:val="auto"/>
                <w:w w:val="91"/>
              </w:rPr>
              <w:t>May 31, 2018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2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Theodore S. Kim</w:t>
            </w:r>
          </w:p>
        </w:tc>
        <w:tc>
          <w:tcPr>
            <w:tcW w:w="56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0" w:type="dxa"/>
            <w:vAlign w:val="bottom"/>
          </w:tcPr>
          <w:p>
            <w:pPr>
              <w:spacing w:after="0"/>
              <w:rPr>
                <w:sz w:val="15"/>
                <w:szCs w:val="15"/>
                <w:color w:val="auto"/>
              </w:rPr>
            </w:pPr>
          </w:p>
        </w:tc>
        <w:tc>
          <w:tcPr>
            <w:tcW w:w="52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5240" w:type="dxa"/>
            <w:vAlign w:val="bottom"/>
          </w:tcPr>
          <w:p>
            <w:pPr>
              <w:jc w:val="center"/>
              <w:ind w:left="10"/>
              <w:spacing w:after="0" w:line="182" w:lineRule="exact"/>
              <w:rPr>
                <w:sz w:val="20"/>
                <w:szCs w:val="20"/>
                <w:color w:val="auto"/>
              </w:rPr>
            </w:pPr>
            <w:r>
              <w:rPr>
                <w:rFonts w:ascii="Arial" w:cs="Arial" w:eastAsia="Arial" w:hAnsi="Arial"/>
                <w:sz w:val="18"/>
                <w:szCs w:val="18"/>
                <w:color w:val="auto"/>
                <w:w w:val="91"/>
              </w:rPr>
              <w:t>(Date)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4"/>
              </w:rPr>
              <w:t>Chief Compliance Officer, Executive Vice President, General Counsel</w:t>
            </w:r>
          </w:p>
        </w:tc>
        <w:tc>
          <w:tcPr>
            <w:tcW w:w="5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Secretary</w:t>
            </w: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6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8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4580" w:type="dxa"/>
            <w:vAlign w:val="bottom"/>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680" w:type="dxa"/>
            <w:vAlign w:val="bottom"/>
            <w:gridSpan w:val="3"/>
          </w:tcPr>
          <w:p>
            <w:pPr>
              <w:jc w:val="center"/>
              <w:ind w:left="690"/>
              <w:spacing w:after="0"/>
              <w:rPr>
                <w:sz w:val="20"/>
                <w:szCs w:val="20"/>
                <w:color w:val="auto"/>
              </w:rPr>
            </w:pPr>
            <w:r>
              <w:rPr>
                <w:rFonts w:ascii="Arial" w:cs="Arial" w:eastAsia="Arial" w:hAnsi="Arial"/>
                <w:sz w:val="18"/>
                <w:szCs w:val="18"/>
                <w:color w:val="auto"/>
                <w:w w:val="91"/>
              </w:rPr>
              <w:t>Conflict Minerals Report of MagnaChip Semiconductor Corporation for the reporting period from January 1, 2017 to December 31, 2017</w:t>
            </w:r>
          </w:p>
        </w:tc>
      </w:tr>
      <w:tr>
        <w:trPr>
          <w:trHeight w:val="365"/>
        </w:trPr>
        <w:tc>
          <w:tcPr>
            <w:tcW w:w="720" w:type="dxa"/>
            <w:vAlign w:val="bottom"/>
          </w:tcPr>
          <w:p>
            <w:pPr>
              <w:spacing w:after="0"/>
              <w:rPr>
                <w:sz w:val="24"/>
                <w:szCs w:val="24"/>
                <w:color w:val="auto"/>
              </w:rPr>
            </w:pPr>
          </w:p>
        </w:tc>
        <w:tc>
          <w:tcPr>
            <w:tcW w:w="538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2017 to December 31, 2017</w:t>
      </w:r>
    </w:p>
    <w:p>
      <w:pPr>
        <w:spacing w:after="0" w:line="21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This Conflict Minerals Report (this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of MagnaChip Semiconductor Corporation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been prepared pursuant to Rule 13p-1 and Form SD promulgated under the Securities Exchange Act of 1934 for the reporting period from January 1, 2017 to December 31, 2017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28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vary materially from those expressed.</w:t>
      </w:r>
    </w:p>
    <w:p>
      <w:pPr>
        <w:spacing w:after="0" w:line="16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Arial" w:cs="Arial" w:eastAsia="Arial" w:hAnsi="Arial"/>
          <w:sz w:val="16"/>
          <w:szCs w:val="16"/>
          <w:b w:val="1"/>
          <w:bCs w:val="1"/>
          <w:i w:val="1"/>
          <w:iCs w:val="1"/>
          <w:color w:val="auto"/>
        </w:rPr>
        <w:t>conflict minerals</w:t>
      </w:r>
      <w:r>
        <w:rPr>
          <w:rFonts w:ascii="Arial" w:cs="Arial" w:eastAsia="Arial" w:hAnsi="Arial"/>
          <w:sz w:val="16"/>
          <w:szCs w:val="16"/>
          <w:color w:val="auto"/>
        </w:rPr>
        <w:t>” as: (i)(a) columbite-tantalite (or coltan, the metal ore from which tantalum is extracted), (b) cassiterite (the metal ore from which tin is extracted), (c) gold and</w:t>
      </w:r>
    </w:p>
    <w:p>
      <w:pPr>
        <w:ind w:right="40" w:firstLine="8"/>
        <w:spacing w:after="0" w:line="25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8"/>
          <w:szCs w:val="18"/>
          <w:b w:val="1"/>
          <w:bCs w:val="1"/>
          <w:i w:val="1"/>
          <w:iCs w:val="1"/>
          <w:color w:val="auto"/>
        </w:rPr>
        <w:t>Covered Countries</w:t>
      </w:r>
      <w:r>
        <w:rPr>
          <w:rFonts w:ascii="Arial" w:cs="Arial" w:eastAsia="Arial" w:hAnsi="Arial"/>
          <w:sz w:val="18"/>
          <w:szCs w:val="18"/>
          <w:color w:val="auto"/>
        </w:rPr>
        <w:t>”).</w:t>
      </w:r>
    </w:p>
    <w:p>
      <w:pPr>
        <w:spacing w:after="0" w:line="19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Company’s business is conducted through its Standard Products Group, which consists of the Display Solutions and Power Solutions business lines, and the Company’s Foundry Services Group.</w:t>
      </w:r>
    </w:p>
    <w:p>
      <w:pPr>
        <w:spacing w:after="0" w:line="76" w:lineRule="exact"/>
        <w:rPr>
          <w:sz w:val="20"/>
          <w:szCs w:val="20"/>
          <w:color w:val="auto"/>
        </w:rPr>
      </w:pPr>
    </w:p>
    <w:p>
      <w:pPr>
        <w:jc w:val="both"/>
        <w:ind w:left="900" w:right="180" w:hanging="325"/>
        <w:spacing w:after="0" w:line="286"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Display Solutions products include source and gate drivers and timing controllers that cover a wide range of flat panel displays used in ultra high definition (UHD), high definition (HD), full high definition (FHD), light emitting diode (LED), 3D and organic light emitting diodes (OLED) televisions and displays, notebooks and mobile communications and entertainment devices.</w:t>
      </w:r>
    </w:p>
    <w:p>
      <w:pPr>
        <w:spacing w:after="0" w:line="70" w:lineRule="exact"/>
        <w:rPr>
          <w:rFonts w:ascii="Arial" w:cs="Arial" w:eastAsia="Arial" w:hAnsi="Arial"/>
          <w:sz w:val="17"/>
          <w:szCs w:val="17"/>
          <w:color w:val="auto"/>
        </w:rPr>
      </w:pPr>
    </w:p>
    <w:p>
      <w:pPr>
        <w:ind w:left="900" w:right="220" w:hanging="325"/>
        <w:spacing w:after="0" w:line="279"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Power Solutions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e-bike, photovoltaic inverter, LED lighting, motor drive and home appliances.</w:t>
      </w:r>
    </w:p>
    <w:p>
      <w:pPr>
        <w:spacing w:after="0" w:line="76" w:lineRule="exact"/>
        <w:rPr>
          <w:rFonts w:ascii="Arial" w:cs="Arial" w:eastAsia="Arial" w:hAnsi="Arial"/>
          <w:sz w:val="17"/>
          <w:szCs w:val="17"/>
          <w:color w:val="auto"/>
        </w:rPr>
      </w:pPr>
    </w:p>
    <w:p>
      <w:pPr>
        <w:jc w:val="both"/>
        <w:ind w:left="900" w:right="2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Foundry Services Group provides specialty analog and mixed-signal foundry services to fabless semiconductor companies and Integrated Device Manufacturer semiconductor companies that serve communications, Internet of Things, consumer, industrial and automotive applications.</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Company’s operations may at times manufacture, or contract to manufacture, products, including the products listed above, for which conflict minerals are necessary to the functionality or production of those products (collectively, the “</w:t>
      </w:r>
      <w:r>
        <w:rPr>
          <w:rFonts w:ascii="Arial" w:cs="Arial" w:eastAsia="Arial" w:hAnsi="Arial"/>
          <w:sz w:val="18"/>
          <w:szCs w:val="18"/>
          <w:b w:val="1"/>
          <w:bCs w:val="1"/>
          <w:i w:val="1"/>
          <w:iCs w:val="1"/>
          <w:color w:val="auto"/>
        </w:rPr>
        <w:t>products</w:t>
      </w:r>
      <w:r>
        <w:rPr>
          <w:rFonts w:ascii="Arial" w:cs="Arial" w:eastAsia="Arial" w:hAnsi="Arial"/>
          <w:sz w:val="18"/>
          <w:szCs w:val="18"/>
          <w:color w:val="auto"/>
        </w:rPr>
        <w:t>”).</w:t>
      </w:r>
    </w:p>
    <w:p>
      <w:pPr>
        <w:spacing w:after="0" w:line="170"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As required by Form SD, the Company has conducted a good faith reasonable country of origin inquiry (“</w:t>
      </w:r>
      <w:r>
        <w:rPr>
          <w:rFonts w:ascii="Arial" w:cs="Arial" w:eastAsia="Arial" w:hAnsi="Arial"/>
          <w:sz w:val="18"/>
          <w:szCs w:val="18"/>
          <w:b w:val="1"/>
          <w:bCs w:val="1"/>
          <w:i w:val="1"/>
          <w:iCs w:val="1"/>
          <w:color w:val="auto"/>
        </w:rPr>
        <w:t>RCOI</w:t>
      </w:r>
      <w:r>
        <w:rPr>
          <w:rFonts w:ascii="Arial" w:cs="Arial" w:eastAsia="Arial" w:hAnsi="Arial"/>
          <w:sz w:val="18"/>
          <w:szCs w:val="18"/>
          <w:color w:val="auto"/>
        </w:rPr>
        <w:t>”) regarding the conflict minerals included in such products during the Reporting Period, which the Company refers to as the “</w:t>
      </w:r>
      <w:r>
        <w:rPr>
          <w:rFonts w:ascii="Arial" w:cs="Arial" w:eastAsia="Arial" w:hAnsi="Arial"/>
          <w:sz w:val="18"/>
          <w:szCs w:val="18"/>
          <w:b w:val="1"/>
          <w:bCs w:val="1"/>
          <w:i w:val="1"/>
          <w:iCs w:val="1"/>
          <w:color w:val="auto"/>
        </w:rPr>
        <w:t>Subject Minerals</w:t>
      </w:r>
      <w:r>
        <w:rPr>
          <w:rFonts w:ascii="Arial" w:cs="Arial" w:eastAsia="Arial" w:hAnsi="Arial"/>
          <w:sz w:val="18"/>
          <w:szCs w:val="18"/>
          <w:color w:val="auto"/>
        </w:rPr>
        <w:t>,” to determine whether any such Subject Minerals originated in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t>
      </w:r>
      <w:r>
        <w:rPr>
          <w:rFonts w:ascii="Arial" w:cs="Arial" w:eastAsia="Arial" w:hAnsi="Arial"/>
          <w:sz w:val="18"/>
          <w:szCs w:val="18"/>
          <w:i w:val="1"/>
          <w:iCs w:val="1"/>
          <w:color w:val="auto"/>
        </w:rPr>
        <w:t>http://www.magnachip.com/AboutUs/Policy.php</w:t>
      </w:r>
      <w:r>
        <w:rPr>
          <w:rFonts w:ascii="Arial" w:cs="Arial" w:eastAsia="Arial" w:hAnsi="Arial"/>
          <w:sz w:val="18"/>
          <w:szCs w:val="18"/>
          <w:color w:val="auto"/>
        </w:rPr>
        <w:t>. The content on, or accessible through, any web site referred to in this Report is not incorporated by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Report unless expressly noted.</w:t>
      </w:r>
    </w:p>
    <w:p>
      <w:pPr>
        <w:spacing w:after="0" w:line="29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RCOI and Due Diligence Process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The Company also exercised due diligence on the source of the Subject Minerals. The Company’s due diligence measures have been designed to follow the framework in the Organization for Economic Co-operation and Development Due Diligence Guidance for Responsible Supply Chains of Minerals from Conflict-Affected and High Risk Areas: Second Edition, including the related supplements on gold, tin, tantalum and tungsten (the “</w:t>
      </w:r>
      <w:r>
        <w:rPr>
          <w:rFonts w:ascii="Arial" w:cs="Arial" w:eastAsia="Arial" w:hAnsi="Arial"/>
          <w:sz w:val="17"/>
          <w:szCs w:val="17"/>
          <w:b w:val="1"/>
          <w:bCs w:val="1"/>
          <w:i w:val="1"/>
          <w:iCs w:val="1"/>
          <w:color w:val="auto"/>
        </w:rPr>
        <w:t>OECD Guidelines</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RCOI</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or products manufactured by the Company. Because the Company does not purchase conflict minerals directly from mines, smelters or refiners, there are many third parties in the supply chain between the Company and the original sources of conflict minerals. As a result, the Company relies on its suppliers and outsourcing manufacturers to provide information regarding the origin of any conflict minerals that are included in its products. In accordance with the OECD Guidelines and related guidance provided by the SEC, the Company worked with its suppliers and outsourcing manufacturers to identify, where possible, the smelters and countries of origin of the Subject Minerals.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Reporting Period, the Company worked to identify its Tier 1 suppliers and outsourcing manufacturers that it believed could potentially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provide materials or components containing Subject Minerals (collectively, the “</w:t>
      </w:r>
      <w:r>
        <w:rPr>
          <w:rFonts w:ascii="Arial" w:cs="Arial" w:eastAsia="Arial" w:hAnsi="Arial"/>
          <w:sz w:val="17"/>
          <w:szCs w:val="17"/>
          <w:b w:val="1"/>
          <w:bCs w:val="1"/>
          <w:i w:val="1"/>
          <w:iCs w:val="1"/>
          <w:color w:val="auto"/>
        </w:rPr>
        <w:t>Covered Suppliers</w:t>
      </w:r>
      <w:r>
        <w:rPr>
          <w:rFonts w:ascii="Arial" w:cs="Arial" w:eastAsia="Arial" w:hAnsi="Arial"/>
          <w:sz w:val="17"/>
          <w:szCs w:val="17"/>
          <w:color w:val="auto"/>
        </w:rPr>
        <w:t>”) as part of its RCOI. The Company focused on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suppliers providing materials or components for products that the Company identified as containing Subject Minerals and all of its outsourcing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manufacturers. During the Reporting Period, the Company asked the Covered Suppliers to complete and return the Conflict Minerals Reporting Template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CMRT</w:t>
      </w:r>
      <w:r>
        <w:rPr>
          <w:rFonts w:ascii="Arial" w:cs="Arial" w:eastAsia="Arial" w:hAnsi="Arial"/>
          <w:sz w:val="17"/>
          <w:szCs w:val="17"/>
          <w:color w:val="auto"/>
        </w:rPr>
        <w:t>”) that was developed by the Responsible Minerals Initiative (formerly the Conflict-Free Sourcing Initiative) (the “</w:t>
      </w:r>
      <w:r>
        <w:rPr>
          <w:rFonts w:ascii="Arial" w:cs="Arial" w:eastAsia="Arial" w:hAnsi="Arial"/>
          <w:sz w:val="17"/>
          <w:szCs w:val="17"/>
          <w:b w:val="1"/>
          <w:bCs w:val="1"/>
          <w:i w:val="1"/>
          <w:iCs w:val="1"/>
          <w:color w:val="auto"/>
        </w:rPr>
        <w:t>RMI</w:t>
      </w:r>
      <w:r>
        <w:rPr>
          <w:rFonts w:ascii="Arial" w:cs="Arial" w:eastAsia="Arial" w:hAnsi="Arial"/>
          <w:sz w:val="17"/>
          <w:szCs w:val="17"/>
          <w:color w:val="auto"/>
        </w:rPr>
        <w:t>”). The RMI was founded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Responsible Business Alliance (RBA) (formerly the Electronic Industry Citizenship Coalition) and the Global e-Sustainability Initiative (GeSI) and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grown into a multi-industry initiative addressing conflict mineral issues in the supply chain. The CMRT is a widely-used standard form to collect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the supply chain, including the names of smelters and refiners of conflict minerals. The RMI’s Responsible Minerals Assurance Process (formerly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Conflict-Free Smelter Program) (the “</w:t>
      </w:r>
      <w:r>
        <w:rPr>
          <w:rFonts w:ascii="Arial" w:cs="Arial" w:eastAsia="Arial" w:hAnsi="Arial"/>
          <w:sz w:val="17"/>
          <w:szCs w:val="17"/>
          <w:b w:val="1"/>
          <w:bCs w:val="1"/>
          <w:i w:val="1"/>
          <w:iCs w:val="1"/>
          <w:color w:val="auto"/>
        </w:rPr>
        <w:t>RMAP</w:t>
      </w:r>
      <w:r>
        <w:rPr>
          <w:rFonts w:ascii="Arial" w:cs="Arial" w:eastAsia="Arial" w:hAnsi="Arial"/>
          <w:sz w:val="17"/>
          <w:szCs w:val="17"/>
          <w:color w:val="auto"/>
        </w:rPr>
        <w:t>”) sponsors independent third-party audits of smelters and refiners of conflict minerals which determine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country of origin of minerals processed through those smelters and refiners.</w:t>
      </w:r>
    </w:p>
    <w:p>
      <w:pPr>
        <w:spacing w:after="0" w:line="211"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Using a risk-based approach, the Company evaluated responses from the Covered Suppliers for plausibility, consistency, and gaps both in terms of which materials or components were stated to contain or not contain Subject Minerals, as well as the origin of those Subject Minerals.</w:t>
      </w:r>
    </w:p>
    <w:p>
      <w:pPr>
        <w:spacing w:after="0" w:line="14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Company obtained representations from all of its Covered Suppliers, including completed CMRTs indicating the facilities at which the Subject Minerals were processed. Based on the information obtained pursuant to the RCOI process described above, however, the Company does not have sufficient information with respect to the Reporting Period to determine with specificity the country of origin of the Subject Minerals contained in the products. The Company’s RCOI procedures are an evolving process. See “Additional Due Diligence and Risk Mitigation” below for additional detail.</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Diligence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due diligence process is designed to follow the OECD Guidelines. Due diligence measures undertaken by the Company during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Reporting Period included the following: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Strong Company Management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Team to Support Supply Chain Due Diligence.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an internal team, consisting of members from its supply management and legal departments, to manage conflict minerals engagement with its suppliers and outsourcing manufacturers. This team is charged with overseeing and driving conflict minerals compliance. This team also works with the Company’s other employees to provide training and guidance, receive and track responses and facilitate communication between departments with respect to compliance with the SEC’s reporting requirements regarding conflict minerals.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Policy Developed to Establish Expectations of Suppliers.</w:t>
      </w:r>
    </w:p>
    <w:p>
      <w:pPr>
        <w:spacing w:after="0" w:line="117"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 xml:space="preserve">The Company has adopted and published a position statement establishing the expectations of its suppliers and outsourcing manufacturers to responsibly source products on a conflict-free basis. The position statement can be found on the Company’s website at </w:t>
      </w:r>
      <w:r>
        <w:rPr>
          <w:rFonts w:ascii="Arial" w:cs="Arial" w:eastAsia="Arial" w:hAnsi="Arial"/>
          <w:sz w:val="16"/>
          <w:szCs w:val="16"/>
          <w:i w:val="1"/>
          <w:iCs w:val="1"/>
          <w:color w:val="auto"/>
        </w:rPr>
        <w:t>http://www.magnachip.com/AboutUs/Policy.php</w:t>
      </w:r>
      <w:r>
        <w:rPr>
          <w:rFonts w:ascii="Arial" w:cs="Arial" w:eastAsia="Arial" w:hAnsi="Arial"/>
          <w:sz w:val="16"/>
          <w:szCs w:val="16"/>
          <w:color w:val="auto"/>
        </w:rPr>
        <w:t>. The Company’s position statement will be periodically reviewed and updated as needed.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conflict minerals team also continually evaluates its supply agreements and purchasing procedures to determine whether additional contractual or other means of implementing the Company’s policy should be adopted as described below under “</w:t>
      </w:r>
      <w:r>
        <w:rPr>
          <w:rFonts w:ascii="Arial" w:cs="Arial" w:eastAsia="Arial" w:hAnsi="Arial"/>
          <w:sz w:val="16"/>
          <w:szCs w:val="16"/>
          <w:i w:val="1"/>
          <w:iCs w:val="1"/>
          <w:color w:val="auto"/>
        </w:rPr>
        <w:t>Additional Due Diligence and Risk Mitigation</w:t>
      </w:r>
      <w:r>
        <w:rPr>
          <w:rFonts w:ascii="Arial" w:cs="Arial" w:eastAsia="Arial" w:hAnsi="Arial"/>
          <w:sz w:val="16"/>
          <w:szCs w:val="16"/>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 and Assess Risks in the Supply Chain</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continues to assess its supply chain risks and work with its suppliers and outsourcing manufacturers in developing greater supply chain transparency.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Implement a Strategy to Respond to Identified Risks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 manages conflict minerals engagement with the Company’s suppliers and outsourcing manufacturers also works to address any significant due diligence findings as they arise.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 Out Independent Third-Party Audit of Smelter’s / Refiner’s Due Diligence Practices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 possible, the Company has relied on third party assurances and certifications. For example, the Company accepts as reliable any smelter that is a member of the RMAP (in this Report, we refer to RMAP-compliant smelters as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Annually on Supply Chain Due Diligence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This Report is publicly available at </w:t>
      </w:r>
      <w:r>
        <w:rPr>
          <w:rFonts w:ascii="Arial" w:cs="Arial" w:eastAsia="Arial" w:hAnsi="Arial"/>
          <w:sz w:val="18"/>
          <w:szCs w:val="18"/>
          <w:i w:val="1"/>
          <w:iCs w:val="1"/>
          <w:color w:val="auto"/>
        </w:rPr>
        <w:t>http://www.magnachip.com/AboutUs/Policy.php</w:t>
      </w:r>
      <w:r>
        <w:rPr>
          <w:rFonts w:ascii="Arial" w:cs="Arial" w:eastAsia="Arial" w:hAnsi="Arial"/>
          <w:sz w:val="18"/>
          <w:szCs w:val="18"/>
          <w:color w:val="auto"/>
        </w:rPr>
        <w:t xml:space="preserve"> and meets the OECD recommendation to report annually on supply chain due diligence.</w:t>
      </w:r>
    </w:p>
    <w:p>
      <w:pPr>
        <w:spacing w:after="0" w:line="27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Due Diligence Results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Based solely on the information obtained pursuant to the RCOI and due diligence process described above, including review of CMRTs completed by the Covered Suppliers in 2017, our Covered Suppliers reported that they solely used Members for the Company’s products. (Two smelters that were reported by a Covered Supplier have now ceased operations and, as a result, are not currently considered Members; however, those smelters were Members prior to ceasing their operations.) However, the Company does not have sufficient information, with respect to the Reporting Period, to determine the known country of origin of the Subject Minerals because certain of the Covered Suppliers did not provide country of origin information for several smelters and refiners that those Covered Suppliers identified as being Members. Therefore, the Company is not able to determine that the Subject Minerals in the Company’s products came from recycled or scrap sources or did not come from the Covered Countries.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7" w:name="page8"/>
    <w:bookmarkEnd w:id="7"/>
    <w:p>
      <w:pPr>
        <w:ind w:right="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Covered Supplier’s failure to identify a specific facility/smelter and/or country of origin with respect to the Company’s products at any point in its supply chain will drive an equivalent response for the Company and, therefore, the Company is unable to report a complete list of facilities/smelters and/or countries of origin for the Subject Minerals at this time. The Company has, however, included in this Report a list of facilities that may have been used to process the Subject Minerals in the Company’s products as reported by the Covered Suppliers in their completed CMRTs, as noted in “</w:t>
      </w:r>
      <w:r>
        <w:rPr>
          <w:rFonts w:ascii="Arial" w:cs="Arial" w:eastAsia="Arial" w:hAnsi="Arial"/>
          <w:sz w:val="18"/>
          <w:szCs w:val="18"/>
          <w:i w:val="1"/>
          <w:iCs w:val="1"/>
          <w:color w:val="auto"/>
        </w:rPr>
        <w:t>Facilities Used to</w:t>
      </w:r>
      <w:r>
        <w:rPr>
          <w:rFonts w:ascii="Arial" w:cs="Arial" w:eastAsia="Arial" w:hAnsi="Arial"/>
          <w:sz w:val="18"/>
          <w:szCs w:val="18"/>
          <w:color w:val="auto"/>
        </w:rPr>
        <w:t xml:space="preserve"> </w:t>
      </w:r>
      <w:r>
        <w:rPr>
          <w:rFonts w:ascii="Arial" w:cs="Arial" w:eastAsia="Arial" w:hAnsi="Arial"/>
          <w:sz w:val="18"/>
          <w:szCs w:val="18"/>
          <w:i w:val="1"/>
          <w:iCs w:val="1"/>
          <w:color w:val="auto"/>
        </w:rPr>
        <w:t>Process Subject Minerals and Country of Origin</w:t>
      </w:r>
      <w:r>
        <w:rPr>
          <w:rFonts w:ascii="Arial" w:cs="Arial" w:eastAsia="Arial" w:hAnsi="Arial"/>
          <w:sz w:val="18"/>
          <w:szCs w:val="18"/>
          <w:color w:val="auto"/>
        </w:rPr>
        <w:t>” below.</w:t>
      </w:r>
    </w:p>
    <w:p>
      <w:pPr>
        <w:spacing w:after="0" w:line="18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Company expects to continue to implement and refine its conflict minerals program to improve its supply chain transparency by obtaining more accurate and more complete information from its suppliers and outsourcing manufacturers. See “</w:t>
      </w:r>
      <w:r>
        <w:rPr>
          <w:rFonts w:ascii="Arial" w:cs="Arial" w:eastAsia="Arial" w:hAnsi="Arial"/>
          <w:sz w:val="18"/>
          <w:szCs w:val="18"/>
          <w:i w:val="1"/>
          <w:iCs w:val="1"/>
          <w:color w:val="auto"/>
        </w:rPr>
        <w:t>Additional Due Diligence and Risk Mitigation</w:t>
      </w:r>
      <w:r>
        <w:rPr>
          <w:rFonts w:ascii="Arial" w:cs="Arial" w:eastAsia="Arial" w:hAnsi="Arial"/>
          <w:sz w:val="18"/>
          <w:szCs w:val="18"/>
          <w:color w:val="auto"/>
        </w:rPr>
        <w:t>” below for additional detail.</w:t>
      </w:r>
    </w:p>
    <w:p>
      <w:pPr>
        <w:spacing w:after="0" w:line="28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Due Diligence and Risk Mitigation</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expects to take the following steps, among others, to improve its RCOI process and due diligence measures: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Terms and Conditions / Supplier Code of Conduct</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Within the Company’s supplier relationships, the Company seeks to manage its sourcing processes ethically, and to hold the Company, its suppliers, and its outsourcing manufacturers to high standards of behavior. This means that the Company is committed to working with its suppliers and outsourcing manufacturers to encourage responsible practices throughout the supply network. The Company is working to strengthen its commitment to the responsible sourcing of conflict minerals, including by using the Company’s purchasing power and relationships to influence its suppliers and outsourcing manufacturers, and evaluating the use of specific terms and conditions in certain supply agreements and purchase orders. For example, the Company includes in its purchase order form a request that the supplier declare that all products supplied to the Company do not contain Subject Minerals that originate from the Covered Countries and that the supplier does not use smelters that have not been validated to be conflict free. The Company has also required certifications from its suppliers and outsourcing manufacturers that they will adhere to the Company’s conflict minerals policy and assist in its reporting requirements. The Company expects to continue to refine, develop and implement specific terms, conditions and expectations with its suppliers and outsourcing manufacturers that require, among other matters, that no materials or components supplied or manufactured on behalf of the Company contain any conflict minerals that directly or indirectly finance any armed group that has been identified as a perpetrator of human rights abuses.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Improvement of Supply Chain Due Diligence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expects to continue to improve its supply chain due diligence efforts. Such measures may include, but are not limited to:</w:t>
      </w:r>
    </w:p>
    <w:p>
      <w:pPr>
        <w:spacing w:after="0" w:line="13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assessing the presence of conflict minerals in its supply chain;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clearly communicating expectations with regard to transparency of supplier sourcing of conflict minerals;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the detail and transparency of responses received in the RCOI and due diligence process, including by continuing to request that suppliers provide CMRTs twice a year.</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to compare RCOI and due diligence results to information collected via independent conflict free smelter validation programs such as the RMAP; and</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contacting suppliers and outsourcing manufacturers regarding smelters identified as a result of the RCOI and due diligence process and request their participation in obtaining a “conflict free” designation from an industry program such as the RMAP.</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8" w:name="page9"/>
    <w:bookmarkEnd w:id="8"/>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Facilities Used to Process Subject Minerals and Country of Origin</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the information obtained pursuant to the RCOI and due diligence process described above, the Company does not have sufficient information, with respect to the Reporting Period, to determine the known country of origin of the Subject Minerals, or whether the Subject Minerals in its products are from recycled or scrap sources, for the reasons described above under “</w:t>
      </w:r>
      <w:r>
        <w:rPr>
          <w:rFonts w:ascii="Arial" w:cs="Arial" w:eastAsia="Arial" w:hAnsi="Arial"/>
          <w:sz w:val="18"/>
          <w:szCs w:val="18"/>
          <w:i w:val="1"/>
          <w:iCs w:val="1"/>
          <w:color w:val="auto"/>
        </w:rPr>
        <w:t>Due Diligence Results</w:t>
      </w:r>
      <w:r>
        <w:rPr>
          <w:rFonts w:ascii="Arial" w:cs="Arial" w:eastAsia="Arial" w:hAnsi="Arial"/>
          <w:sz w:val="18"/>
          <w:szCs w:val="18"/>
          <w:color w:val="auto"/>
        </w:rPr>
        <w:t>.” Based on the information provided by the Covered Suppliers in their completed CMRTs however, the Company believes that facilities that may have been used to process the Subject Minerals in the Company’s products include the following smelters and refiners.</w:t>
      </w:r>
    </w:p>
    <w:p>
      <w:pPr>
        <w:spacing w:after="0" w:line="19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ind w:left="520"/>
              <w:spacing w:after="0"/>
              <w:rPr>
                <w:sz w:val="20"/>
                <w:szCs w:val="20"/>
                <w:color w:val="auto"/>
              </w:rPr>
            </w:pPr>
            <w:r>
              <w:rPr>
                <w:rFonts w:ascii="Arial" w:cs="Arial" w:eastAsia="Arial" w:hAnsi="Arial"/>
                <w:sz w:val="14"/>
                <w:szCs w:val="14"/>
                <w:b w:val="1"/>
                <w:bCs w:val="1"/>
                <w:color w:val="auto"/>
              </w:rPr>
              <w:t>Country Location of</w:t>
            </w:r>
          </w:p>
        </w:tc>
      </w:tr>
      <w:tr>
        <w:trPr>
          <w:trHeight w:val="185"/>
        </w:trPr>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Subject Mineral</w:t>
            </w:r>
          </w:p>
        </w:tc>
        <w:tc>
          <w:tcPr>
            <w:tcW w:w="7760" w:type="dxa"/>
            <w:vAlign w:val="bottom"/>
            <w:gridSpan w:val="2"/>
          </w:tcPr>
          <w:p>
            <w:pPr>
              <w:ind w:left="3060"/>
              <w:spacing w:after="0"/>
              <w:rPr>
                <w:sz w:val="20"/>
                <w:szCs w:val="20"/>
                <w:color w:val="auto"/>
              </w:rPr>
            </w:pPr>
            <w:r>
              <w:rPr>
                <w:rFonts w:ascii="Arial" w:cs="Arial" w:eastAsia="Arial" w:hAnsi="Arial"/>
                <w:sz w:val="14"/>
                <w:szCs w:val="14"/>
                <w:b w:val="1"/>
                <w:bCs w:val="1"/>
                <w:color w:val="auto"/>
              </w:rPr>
              <w:t>Smelter or Refiner Name</w:t>
            </w:r>
          </w:p>
        </w:tc>
        <w:tc>
          <w:tcPr>
            <w:tcW w:w="2280" w:type="dxa"/>
            <w:vAlign w:val="bottom"/>
          </w:tcPr>
          <w:p>
            <w:pPr>
              <w:ind w:left="560"/>
              <w:spacing w:after="0"/>
              <w:rPr>
                <w:sz w:val="20"/>
                <w:szCs w:val="20"/>
                <w:color w:val="auto"/>
              </w:rPr>
            </w:pPr>
            <w:r>
              <w:rPr>
                <w:rFonts w:ascii="Arial" w:cs="Arial" w:eastAsia="Arial" w:hAnsi="Arial"/>
                <w:sz w:val="14"/>
                <w:szCs w:val="14"/>
                <w:b w:val="1"/>
                <w:bCs w:val="1"/>
                <w:color w:val="auto"/>
              </w:rPr>
              <w:t>Smelter or Refiner</w:t>
            </w:r>
          </w:p>
        </w:tc>
      </w:tr>
      <w:tr>
        <w:trPr>
          <w:trHeight w:val="195"/>
        </w:trPr>
        <w:tc>
          <w:tcPr>
            <w:tcW w:w="20" w:type="dxa"/>
            <w:vAlign w:val="bottom"/>
          </w:tcPr>
          <w:p>
            <w:pPr>
              <w:spacing w:after="0"/>
              <w:rPr>
                <w:sz w:val="16"/>
                <w:szCs w:val="16"/>
                <w:color w:val="auto"/>
              </w:rPr>
            </w:pPr>
          </w:p>
        </w:tc>
        <w:tc>
          <w:tcPr>
            <w:tcW w:w="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Gold</w:t>
            </w:r>
          </w:p>
        </w:tc>
        <w:tc>
          <w:tcPr>
            <w:tcW w:w="260" w:type="dxa"/>
            <w:vAlign w:val="bottom"/>
          </w:tcPr>
          <w:p>
            <w:pPr>
              <w:spacing w:after="0"/>
              <w:rPr>
                <w:sz w:val="16"/>
                <w:szCs w:val="16"/>
                <w:color w:val="auto"/>
              </w:rPr>
            </w:pPr>
          </w:p>
        </w:tc>
        <w:tc>
          <w:tcPr>
            <w:tcW w:w="7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Advanced Chemical Company</w:t>
            </w:r>
          </w:p>
        </w:tc>
        <w:tc>
          <w:tcPr>
            <w:tcW w:w="1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States of America</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Aida Chemical Industries Co., Ltd.</w:t>
            </w:r>
          </w:p>
        </w:tc>
        <w:tc>
          <w:tcPr>
            <w:tcW w:w="22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Al Etihad Gold LLC</w:t>
            </w:r>
          </w:p>
        </w:tc>
        <w:tc>
          <w:tcPr>
            <w:tcW w:w="228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Allgemeine Gold-und Silberscheideanstalt A.G.</w:t>
            </w:r>
          </w:p>
        </w:tc>
        <w:tc>
          <w:tcPr>
            <w:tcW w:w="22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Almalyk Mining and Metallurgical Complex (AMMC)</w:t>
            </w:r>
          </w:p>
        </w:tc>
        <w:tc>
          <w:tcPr>
            <w:tcW w:w="2280" w:type="dxa"/>
            <w:vAlign w:val="bottom"/>
          </w:tcPr>
          <w:p>
            <w:pPr>
              <w:spacing w:after="0"/>
              <w:rPr>
                <w:sz w:val="20"/>
                <w:szCs w:val="20"/>
                <w:color w:val="auto"/>
              </w:rPr>
            </w:pPr>
            <w:r>
              <w:rPr>
                <w:rFonts w:ascii="Arial" w:cs="Arial" w:eastAsia="Arial" w:hAnsi="Arial"/>
                <w:sz w:val="18"/>
                <w:szCs w:val="18"/>
                <w:color w:val="auto"/>
              </w:rPr>
              <w:t>Uzbekistan</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AngloGold Ashanti Corrego do Sitio Mineracao</w:t>
            </w:r>
          </w:p>
        </w:tc>
        <w:tc>
          <w:tcPr>
            <w:tcW w:w="228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Argor-Heraeus S.A.</w:t>
            </w:r>
          </w:p>
        </w:tc>
        <w:tc>
          <w:tcPr>
            <w:tcW w:w="22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Asahi Pretec Corp.</w:t>
            </w:r>
          </w:p>
        </w:tc>
        <w:tc>
          <w:tcPr>
            <w:tcW w:w="22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Asahi Refining Canada Ltd.</w:t>
            </w:r>
          </w:p>
        </w:tc>
        <w:tc>
          <w:tcPr>
            <w:tcW w:w="228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Asahi Refining USA Inc.</w:t>
            </w:r>
          </w:p>
        </w:tc>
        <w:tc>
          <w:tcPr>
            <w:tcW w:w="228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Asaka Riken Co., Ltd.</w:t>
            </w:r>
          </w:p>
        </w:tc>
        <w:tc>
          <w:tcPr>
            <w:tcW w:w="22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AU Traders and Refiners</w:t>
            </w:r>
          </w:p>
        </w:tc>
        <w:tc>
          <w:tcPr>
            <w:tcW w:w="2280" w:type="dxa"/>
            <w:vAlign w:val="bottom"/>
          </w:tcPr>
          <w:p>
            <w:pPr>
              <w:spacing w:after="0"/>
              <w:rPr>
                <w:sz w:val="20"/>
                <w:szCs w:val="20"/>
                <w:color w:val="auto"/>
              </w:rPr>
            </w:pPr>
            <w:r>
              <w:rPr>
                <w:rFonts w:ascii="Arial" w:cs="Arial" w:eastAsia="Arial" w:hAnsi="Arial"/>
                <w:sz w:val="18"/>
                <w:szCs w:val="18"/>
                <w:color w:val="auto"/>
              </w:rPr>
              <w:t>South Africa</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Aurubis AG</w:t>
            </w:r>
          </w:p>
        </w:tc>
        <w:tc>
          <w:tcPr>
            <w:tcW w:w="22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Bangko Sentral ng Pilipinas (Central Bank of the Philippines)</w:t>
            </w:r>
          </w:p>
        </w:tc>
        <w:tc>
          <w:tcPr>
            <w:tcW w:w="228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Boliden AB</w:t>
            </w:r>
          </w:p>
        </w:tc>
        <w:tc>
          <w:tcPr>
            <w:tcW w:w="228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C. Hafner GmbH + Co. KG</w:t>
            </w:r>
          </w:p>
        </w:tc>
        <w:tc>
          <w:tcPr>
            <w:tcW w:w="22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CCR Refinery - Glencore Canada Corporation</w:t>
            </w:r>
          </w:p>
        </w:tc>
        <w:tc>
          <w:tcPr>
            <w:tcW w:w="228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Chimet S.p.A.</w:t>
            </w:r>
          </w:p>
        </w:tc>
        <w:tc>
          <w:tcPr>
            <w:tcW w:w="228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The Refinery of Shandong Gold Mining Co., Ltd.</w:t>
            </w:r>
          </w:p>
        </w:tc>
        <w:tc>
          <w:tcPr>
            <w:tcW w:w="22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Daejin Indus Co., Ltd.</w:t>
            </w:r>
          </w:p>
        </w:tc>
        <w:tc>
          <w:tcPr>
            <w:tcW w:w="228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DODUCO Contacts and Refining GmbH</w:t>
            </w:r>
          </w:p>
        </w:tc>
        <w:tc>
          <w:tcPr>
            <w:tcW w:w="22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Dowa</w:t>
            </w:r>
          </w:p>
        </w:tc>
        <w:tc>
          <w:tcPr>
            <w:tcW w:w="22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DSC (Do Sung Corporation)</w:t>
            </w:r>
          </w:p>
        </w:tc>
        <w:tc>
          <w:tcPr>
            <w:tcW w:w="228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Eco-System Recycling Co., Ltd.</w:t>
            </w:r>
          </w:p>
        </w:tc>
        <w:tc>
          <w:tcPr>
            <w:tcW w:w="22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Emirates Gold DMCC</w:t>
            </w:r>
          </w:p>
        </w:tc>
        <w:tc>
          <w:tcPr>
            <w:tcW w:w="228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Geib Refining Corporation</w:t>
            </w:r>
          </w:p>
        </w:tc>
        <w:tc>
          <w:tcPr>
            <w:tcW w:w="228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Gold Refinery of Zijin Mining Group Co., Ltd.</w:t>
            </w:r>
          </w:p>
        </w:tc>
        <w:tc>
          <w:tcPr>
            <w:tcW w:w="22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Heimerle + Meule GmbH</w:t>
            </w:r>
          </w:p>
        </w:tc>
        <w:tc>
          <w:tcPr>
            <w:tcW w:w="22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Heraeus Metals Hong Kong Ltd.</w:t>
            </w:r>
          </w:p>
        </w:tc>
        <w:tc>
          <w:tcPr>
            <w:tcW w:w="22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Heraeus Precious Metals GmbH &amp; Co. KG</w:t>
            </w:r>
          </w:p>
        </w:tc>
        <w:tc>
          <w:tcPr>
            <w:tcW w:w="22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Inner Mongolia Qiankun Gold and Silver Refinery Share Co., Ltd.</w:t>
            </w:r>
          </w:p>
        </w:tc>
        <w:tc>
          <w:tcPr>
            <w:tcW w:w="22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Ishifuku Metal Industry Co., Ltd.</w:t>
            </w:r>
          </w:p>
        </w:tc>
        <w:tc>
          <w:tcPr>
            <w:tcW w:w="22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Istanbul Gold Refinery</w:t>
            </w:r>
          </w:p>
        </w:tc>
        <w:tc>
          <w:tcPr>
            <w:tcW w:w="2280" w:type="dxa"/>
            <w:vAlign w:val="bottom"/>
          </w:tcPr>
          <w:p>
            <w:pPr>
              <w:spacing w:after="0"/>
              <w:rPr>
                <w:sz w:val="20"/>
                <w:szCs w:val="20"/>
                <w:color w:val="auto"/>
              </w:rPr>
            </w:pPr>
            <w:r>
              <w:rPr>
                <w:rFonts w:ascii="Arial" w:cs="Arial" w:eastAsia="Arial" w:hAnsi="Arial"/>
                <w:sz w:val="18"/>
                <w:szCs w:val="18"/>
                <w:color w:val="auto"/>
              </w:rPr>
              <w:t>Turkey</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Japan Mint</w:t>
            </w:r>
          </w:p>
        </w:tc>
        <w:tc>
          <w:tcPr>
            <w:tcW w:w="22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Jiangxi Copper Co., Ltd.</w:t>
            </w:r>
          </w:p>
        </w:tc>
        <w:tc>
          <w:tcPr>
            <w:tcW w:w="228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2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Gold</w:t>
            </w:r>
          </w:p>
        </w:tc>
        <w:tc>
          <w:tcPr>
            <w:tcW w:w="7760" w:type="dxa"/>
            <w:vAlign w:val="bottom"/>
            <w:gridSpan w:val="2"/>
          </w:tcPr>
          <w:p>
            <w:pPr>
              <w:spacing w:after="0"/>
              <w:rPr>
                <w:sz w:val="20"/>
                <w:szCs w:val="20"/>
                <w:color w:val="auto"/>
              </w:rPr>
            </w:pPr>
            <w:r>
              <w:rPr>
                <w:rFonts w:ascii="Arial" w:cs="Arial" w:eastAsia="Arial" w:hAnsi="Arial"/>
                <w:sz w:val="18"/>
                <w:szCs w:val="18"/>
                <w:color w:val="auto"/>
              </w:rPr>
              <w:t>JSC Ekaterinburg Non-Ferrous Metal Processing Plant</w:t>
            </w:r>
          </w:p>
        </w:tc>
        <w:tc>
          <w:tcPr>
            <w:tcW w:w="228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36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40" w:type="dxa"/>
            <w:vAlign w:val="bottom"/>
          </w:tcPr>
          <w:p>
            <w:pPr>
              <w:ind w:left="42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JSC Uralelectromed</w:t>
            </w:r>
          </w:p>
        </w:tc>
        <w:tc>
          <w:tcPr>
            <w:tcW w:w="2800" w:type="dxa"/>
            <w:vAlign w:val="bottom"/>
          </w:tcPr>
          <w:p>
            <w:pPr>
              <w:ind w:left="880"/>
              <w:spacing w:after="0"/>
              <w:rPr>
                <w:sz w:val="20"/>
                <w:szCs w:val="20"/>
                <w:color w:val="auto"/>
              </w:rPr>
            </w:pPr>
            <w:r>
              <w:rPr>
                <w:rFonts w:ascii="Arial" w:cs="Arial" w:eastAsia="Arial" w:hAnsi="Arial"/>
                <w:sz w:val="18"/>
                <w:szCs w:val="18"/>
                <w:color w:val="auto"/>
              </w:rPr>
              <w:t>Russian Federation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JX Nippon Mining &amp; Metals Co., Ltd.</w:t>
            </w:r>
          </w:p>
        </w:tc>
        <w:tc>
          <w:tcPr>
            <w:tcW w:w="2800" w:type="dxa"/>
            <w:vAlign w:val="bottom"/>
          </w:tcPr>
          <w:p>
            <w:pPr>
              <w:ind w:left="880"/>
              <w:spacing w:after="0"/>
              <w:rPr>
                <w:sz w:val="20"/>
                <w:szCs w:val="20"/>
                <w:color w:val="auto"/>
              </w:rPr>
            </w:pPr>
            <w:r>
              <w:rPr>
                <w:rFonts w:ascii="Arial" w:cs="Arial" w:eastAsia="Arial" w:hAnsi="Arial"/>
                <w:sz w:val="18"/>
                <w:szCs w:val="18"/>
                <w:color w:val="auto"/>
              </w:rPr>
              <w:t>Japan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Kazzinc</w:t>
            </w:r>
          </w:p>
        </w:tc>
        <w:tc>
          <w:tcPr>
            <w:tcW w:w="2800" w:type="dxa"/>
            <w:vAlign w:val="bottom"/>
          </w:tcPr>
          <w:p>
            <w:pPr>
              <w:ind w:left="880"/>
              <w:spacing w:after="0"/>
              <w:rPr>
                <w:sz w:val="20"/>
                <w:szCs w:val="20"/>
                <w:color w:val="auto"/>
              </w:rPr>
            </w:pPr>
            <w:r>
              <w:rPr>
                <w:rFonts w:ascii="Arial" w:cs="Arial" w:eastAsia="Arial" w:hAnsi="Arial"/>
                <w:sz w:val="18"/>
                <w:szCs w:val="18"/>
                <w:color w:val="auto"/>
              </w:rPr>
              <w:t>Kazakhstan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Kennecott Utah Copper LLC</w:t>
            </w:r>
          </w:p>
        </w:tc>
        <w:tc>
          <w:tcPr>
            <w:tcW w:w="2800" w:type="dxa"/>
            <w:vAlign w:val="bottom"/>
          </w:tcPr>
          <w:p>
            <w:pPr>
              <w:ind w:left="880"/>
              <w:spacing w:after="0"/>
              <w:rPr>
                <w:sz w:val="20"/>
                <w:szCs w:val="20"/>
                <w:color w:val="auto"/>
              </w:rPr>
            </w:pPr>
            <w:r>
              <w:rPr>
                <w:rFonts w:ascii="Arial" w:cs="Arial" w:eastAsia="Arial" w:hAnsi="Arial"/>
                <w:sz w:val="18"/>
                <w:szCs w:val="18"/>
                <w:color w:val="auto"/>
                <w:w w:val="95"/>
              </w:rPr>
              <w:t>United States of America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Kojima Chemicals Co., Ltd.</w:t>
            </w:r>
          </w:p>
        </w:tc>
        <w:tc>
          <w:tcPr>
            <w:tcW w:w="2800" w:type="dxa"/>
            <w:vAlign w:val="bottom"/>
          </w:tcPr>
          <w:p>
            <w:pPr>
              <w:ind w:left="880"/>
              <w:spacing w:after="0"/>
              <w:rPr>
                <w:sz w:val="20"/>
                <w:szCs w:val="20"/>
                <w:color w:val="auto"/>
              </w:rPr>
            </w:pPr>
            <w:r>
              <w:rPr>
                <w:rFonts w:ascii="Arial" w:cs="Arial" w:eastAsia="Arial" w:hAnsi="Arial"/>
                <w:sz w:val="18"/>
                <w:szCs w:val="18"/>
                <w:color w:val="auto"/>
              </w:rPr>
              <w:t>Japan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Korea Zinc Co., Ltd.</w:t>
            </w:r>
          </w:p>
        </w:tc>
        <w:tc>
          <w:tcPr>
            <w:tcW w:w="2800" w:type="dxa"/>
            <w:vAlign w:val="bottom"/>
          </w:tcPr>
          <w:p>
            <w:pPr>
              <w:ind w:left="880"/>
              <w:spacing w:after="0"/>
              <w:rPr>
                <w:sz w:val="20"/>
                <w:szCs w:val="20"/>
                <w:color w:val="auto"/>
              </w:rPr>
            </w:pPr>
            <w:r>
              <w:rPr>
                <w:rFonts w:ascii="Arial" w:cs="Arial" w:eastAsia="Arial" w:hAnsi="Arial"/>
                <w:sz w:val="18"/>
                <w:szCs w:val="18"/>
                <w:color w:val="auto"/>
              </w:rPr>
              <w:t>Korea (Republic of)</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Kyrgyzaltyn JSC</w:t>
            </w:r>
          </w:p>
        </w:tc>
        <w:tc>
          <w:tcPr>
            <w:tcW w:w="2800" w:type="dxa"/>
            <w:vAlign w:val="bottom"/>
          </w:tcPr>
          <w:p>
            <w:pPr>
              <w:ind w:left="880"/>
              <w:spacing w:after="0"/>
              <w:rPr>
                <w:sz w:val="20"/>
                <w:szCs w:val="20"/>
                <w:color w:val="auto"/>
              </w:rPr>
            </w:pPr>
            <w:r>
              <w:rPr>
                <w:rFonts w:ascii="Arial" w:cs="Arial" w:eastAsia="Arial" w:hAnsi="Arial"/>
                <w:sz w:val="18"/>
                <w:szCs w:val="18"/>
                <w:color w:val="auto"/>
              </w:rPr>
              <w:t>Kyrgyzstan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LS-NIKKO Copper Inc.</w:t>
            </w:r>
          </w:p>
        </w:tc>
        <w:tc>
          <w:tcPr>
            <w:tcW w:w="2800" w:type="dxa"/>
            <w:vAlign w:val="bottom"/>
          </w:tcPr>
          <w:p>
            <w:pPr>
              <w:ind w:left="880"/>
              <w:spacing w:after="0"/>
              <w:rPr>
                <w:sz w:val="20"/>
                <w:szCs w:val="20"/>
                <w:color w:val="auto"/>
              </w:rPr>
            </w:pPr>
            <w:r>
              <w:rPr>
                <w:rFonts w:ascii="Arial" w:cs="Arial" w:eastAsia="Arial" w:hAnsi="Arial"/>
                <w:sz w:val="18"/>
                <w:szCs w:val="18"/>
                <w:color w:val="auto"/>
              </w:rPr>
              <w:t>Korea (Republic of)</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Materion</w:t>
            </w:r>
          </w:p>
        </w:tc>
        <w:tc>
          <w:tcPr>
            <w:tcW w:w="2800" w:type="dxa"/>
            <w:vAlign w:val="bottom"/>
          </w:tcPr>
          <w:p>
            <w:pPr>
              <w:ind w:left="880"/>
              <w:spacing w:after="0"/>
              <w:rPr>
                <w:sz w:val="20"/>
                <w:szCs w:val="20"/>
                <w:color w:val="auto"/>
              </w:rPr>
            </w:pPr>
            <w:r>
              <w:rPr>
                <w:rFonts w:ascii="Arial" w:cs="Arial" w:eastAsia="Arial" w:hAnsi="Arial"/>
                <w:sz w:val="18"/>
                <w:szCs w:val="18"/>
                <w:color w:val="auto"/>
                <w:w w:val="95"/>
              </w:rPr>
              <w:t>United States of America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Matsuda Sangyo Co., Ltd.</w:t>
            </w:r>
          </w:p>
        </w:tc>
        <w:tc>
          <w:tcPr>
            <w:tcW w:w="2800" w:type="dxa"/>
            <w:vAlign w:val="bottom"/>
          </w:tcPr>
          <w:p>
            <w:pPr>
              <w:ind w:left="880"/>
              <w:spacing w:after="0"/>
              <w:rPr>
                <w:sz w:val="20"/>
                <w:szCs w:val="20"/>
                <w:color w:val="auto"/>
              </w:rPr>
            </w:pPr>
            <w:r>
              <w:rPr>
                <w:rFonts w:ascii="Arial" w:cs="Arial" w:eastAsia="Arial" w:hAnsi="Arial"/>
                <w:sz w:val="18"/>
                <w:szCs w:val="18"/>
                <w:color w:val="auto"/>
              </w:rPr>
              <w:t>Japan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Metalor Technologies S.A.</w:t>
            </w:r>
          </w:p>
        </w:tc>
        <w:tc>
          <w:tcPr>
            <w:tcW w:w="2800" w:type="dxa"/>
            <w:vAlign w:val="bottom"/>
          </w:tcPr>
          <w:p>
            <w:pPr>
              <w:ind w:left="880"/>
              <w:spacing w:after="0"/>
              <w:rPr>
                <w:sz w:val="20"/>
                <w:szCs w:val="20"/>
                <w:color w:val="auto"/>
              </w:rPr>
            </w:pPr>
            <w:r>
              <w:rPr>
                <w:rFonts w:ascii="Arial" w:cs="Arial" w:eastAsia="Arial" w:hAnsi="Arial"/>
                <w:sz w:val="18"/>
                <w:szCs w:val="18"/>
                <w:color w:val="auto"/>
              </w:rPr>
              <w:t>Switzerland</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Metalor Technologies (Hong Kong) Ltd.</w:t>
            </w:r>
          </w:p>
        </w:tc>
        <w:tc>
          <w:tcPr>
            <w:tcW w:w="280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Metalor Technologies (Singapore) Pte., Ltd.</w:t>
            </w:r>
          </w:p>
        </w:tc>
        <w:tc>
          <w:tcPr>
            <w:tcW w:w="2800" w:type="dxa"/>
            <w:vAlign w:val="bottom"/>
          </w:tcPr>
          <w:p>
            <w:pPr>
              <w:ind w:left="880"/>
              <w:spacing w:after="0"/>
              <w:rPr>
                <w:sz w:val="20"/>
                <w:szCs w:val="20"/>
                <w:color w:val="auto"/>
              </w:rPr>
            </w:pPr>
            <w:r>
              <w:rPr>
                <w:rFonts w:ascii="Arial" w:cs="Arial" w:eastAsia="Arial" w:hAnsi="Arial"/>
                <w:sz w:val="18"/>
                <w:szCs w:val="18"/>
                <w:color w:val="auto"/>
              </w:rPr>
              <w:t>Singapore</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Metalor Technologies (Suzhou) Ltd.</w:t>
            </w:r>
          </w:p>
        </w:tc>
        <w:tc>
          <w:tcPr>
            <w:tcW w:w="280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Metalor USA Refining Corporation</w:t>
            </w:r>
          </w:p>
        </w:tc>
        <w:tc>
          <w:tcPr>
            <w:tcW w:w="2800" w:type="dxa"/>
            <w:vAlign w:val="bottom"/>
          </w:tcPr>
          <w:p>
            <w:pPr>
              <w:ind w:left="880"/>
              <w:spacing w:after="0"/>
              <w:rPr>
                <w:sz w:val="20"/>
                <w:szCs w:val="20"/>
                <w:color w:val="auto"/>
              </w:rPr>
            </w:pPr>
            <w:r>
              <w:rPr>
                <w:rFonts w:ascii="Arial" w:cs="Arial" w:eastAsia="Arial" w:hAnsi="Arial"/>
                <w:sz w:val="18"/>
                <w:szCs w:val="18"/>
                <w:color w:val="auto"/>
                <w:w w:val="95"/>
              </w:rPr>
              <w:t>United States of America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Metalurgica Met-Mex Penoles S.A. De C.V.</w:t>
            </w:r>
          </w:p>
        </w:tc>
        <w:tc>
          <w:tcPr>
            <w:tcW w:w="2800" w:type="dxa"/>
            <w:vAlign w:val="bottom"/>
          </w:tcPr>
          <w:p>
            <w:pPr>
              <w:ind w:left="880"/>
              <w:spacing w:after="0"/>
              <w:rPr>
                <w:sz w:val="20"/>
                <w:szCs w:val="20"/>
                <w:color w:val="auto"/>
              </w:rPr>
            </w:pPr>
            <w:r>
              <w:rPr>
                <w:rFonts w:ascii="Arial" w:cs="Arial" w:eastAsia="Arial" w:hAnsi="Arial"/>
                <w:sz w:val="18"/>
                <w:szCs w:val="18"/>
                <w:color w:val="auto"/>
              </w:rPr>
              <w:t>Mexico</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Mitsubishi Materials Corporation</w:t>
            </w:r>
          </w:p>
        </w:tc>
        <w:tc>
          <w:tcPr>
            <w:tcW w:w="2800" w:type="dxa"/>
            <w:vAlign w:val="bottom"/>
          </w:tcPr>
          <w:p>
            <w:pPr>
              <w:ind w:left="880"/>
              <w:spacing w:after="0"/>
              <w:rPr>
                <w:sz w:val="20"/>
                <w:szCs w:val="20"/>
                <w:color w:val="auto"/>
              </w:rPr>
            </w:pPr>
            <w:r>
              <w:rPr>
                <w:rFonts w:ascii="Arial" w:cs="Arial" w:eastAsia="Arial" w:hAnsi="Arial"/>
                <w:sz w:val="18"/>
                <w:szCs w:val="18"/>
                <w:color w:val="auto"/>
              </w:rPr>
              <w:t>Japan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Mitsui Mining and Smelting Co., Ltd.</w:t>
            </w:r>
          </w:p>
        </w:tc>
        <w:tc>
          <w:tcPr>
            <w:tcW w:w="2800" w:type="dxa"/>
            <w:vAlign w:val="bottom"/>
          </w:tcPr>
          <w:p>
            <w:pPr>
              <w:ind w:left="880"/>
              <w:spacing w:after="0"/>
              <w:rPr>
                <w:sz w:val="20"/>
                <w:szCs w:val="20"/>
                <w:color w:val="auto"/>
              </w:rPr>
            </w:pPr>
            <w:r>
              <w:rPr>
                <w:rFonts w:ascii="Arial" w:cs="Arial" w:eastAsia="Arial" w:hAnsi="Arial"/>
                <w:sz w:val="18"/>
                <w:szCs w:val="18"/>
                <w:color w:val="auto"/>
              </w:rPr>
              <w:t>Japan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MMTC-PAMP India Pvt., Ltd.</w:t>
            </w:r>
          </w:p>
        </w:tc>
        <w:tc>
          <w:tcPr>
            <w:tcW w:w="2800" w:type="dxa"/>
            <w:vAlign w:val="bottom"/>
          </w:tcPr>
          <w:p>
            <w:pPr>
              <w:ind w:left="880"/>
              <w:spacing w:after="0"/>
              <w:rPr>
                <w:sz w:val="20"/>
                <w:szCs w:val="20"/>
                <w:color w:val="auto"/>
              </w:rPr>
            </w:pPr>
            <w:r>
              <w:rPr>
                <w:rFonts w:ascii="Arial" w:cs="Arial" w:eastAsia="Arial" w:hAnsi="Arial"/>
                <w:sz w:val="18"/>
                <w:szCs w:val="18"/>
                <w:color w:val="auto"/>
              </w:rPr>
              <w:t>India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Moscow Special Alloys Processing Plant</w:t>
            </w:r>
          </w:p>
        </w:tc>
        <w:tc>
          <w:tcPr>
            <w:tcW w:w="2800" w:type="dxa"/>
            <w:vAlign w:val="bottom"/>
          </w:tcPr>
          <w:p>
            <w:pPr>
              <w:ind w:left="880"/>
              <w:spacing w:after="0"/>
              <w:rPr>
                <w:sz w:val="20"/>
                <w:szCs w:val="20"/>
                <w:color w:val="auto"/>
              </w:rPr>
            </w:pPr>
            <w:r>
              <w:rPr>
                <w:rFonts w:ascii="Arial" w:cs="Arial" w:eastAsia="Arial" w:hAnsi="Arial"/>
                <w:sz w:val="18"/>
                <w:szCs w:val="18"/>
                <w:color w:val="auto"/>
              </w:rPr>
              <w:t>Russian Federation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Nadir Metal Rafineri San. Ve Tic. A.S.</w:t>
            </w:r>
          </w:p>
        </w:tc>
        <w:tc>
          <w:tcPr>
            <w:tcW w:w="2800" w:type="dxa"/>
            <w:vAlign w:val="bottom"/>
          </w:tcPr>
          <w:p>
            <w:pPr>
              <w:ind w:left="880"/>
              <w:spacing w:after="0"/>
              <w:rPr>
                <w:sz w:val="20"/>
                <w:szCs w:val="20"/>
                <w:color w:val="auto"/>
              </w:rPr>
            </w:pPr>
            <w:r>
              <w:rPr>
                <w:rFonts w:ascii="Arial" w:cs="Arial" w:eastAsia="Arial" w:hAnsi="Arial"/>
                <w:sz w:val="18"/>
                <w:szCs w:val="18"/>
                <w:color w:val="auto"/>
              </w:rPr>
              <w:t>Turkey</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Nihon Material Co., Ltd.</w:t>
            </w:r>
          </w:p>
        </w:tc>
        <w:tc>
          <w:tcPr>
            <w:tcW w:w="2800" w:type="dxa"/>
            <w:vAlign w:val="bottom"/>
          </w:tcPr>
          <w:p>
            <w:pPr>
              <w:ind w:left="880"/>
              <w:spacing w:after="0"/>
              <w:rPr>
                <w:sz w:val="20"/>
                <w:szCs w:val="20"/>
                <w:color w:val="auto"/>
              </w:rPr>
            </w:pPr>
            <w:r>
              <w:rPr>
                <w:rFonts w:ascii="Arial" w:cs="Arial" w:eastAsia="Arial" w:hAnsi="Arial"/>
                <w:sz w:val="18"/>
                <w:szCs w:val="18"/>
                <w:color w:val="auto"/>
              </w:rPr>
              <w:t>Japan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Ogussa Osterreichische Gold- und Silber-Scheideanstalt GmbH</w:t>
            </w:r>
          </w:p>
        </w:tc>
        <w:tc>
          <w:tcPr>
            <w:tcW w:w="2800" w:type="dxa"/>
            <w:vAlign w:val="bottom"/>
          </w:tcPr>
          <w:p>
            <w:pPr>
              <w:ind w:left="880"/>
              <w:spacing w:after="0"/>
              <w:rPr>
                <w:sz w:val="20"/>
                <w:szCs w:val="20"/>
                <w:color w:val="auto"/>
              </w:rPr>
            </w:pPr>
            <w:r>
              <w:rPr>
                <w:rFonts w:ascii="Arial" w:cs="Arial" w:eastAsia="Arial" w:hAnsi="Arial"/>
                <w:sz w:val="18"/>
                <w:szCs w:val="18"/>
                <w:color w:val="auto"/>
              </w:rPr>
              <w:t>Austria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Ohura Precious Metal Industry Co., Ltd.</w:t>
            </w:r>
          </w:p>
        </w:tc>
        <w:tc>
          <w:tcPr>
            <w:tcW w:w="2800" w:type="dxa"/>
            <w:vAlign w:val="bottom"/>
          </w:tcPr>
          <w:p>
            <w:pPr>
              <w:ind w:left="880"/>
              <w:spacing w:after="0"/>
              <w:rPr>
                <w:sz w:val="20"/>
                <w:szCs w:val="20"/>
                <w:color w:val="auto"/>
              </w:rPr>
            </w:pPr>
            <w:r>
              <w:rPr>
                <w:rFonts w:ascii="Arial" w:cs="Arial" w:eastAsia="Arial" w:hAnsi="Arial"/>
                <w:sz w:val="18"/>
                <w:szCs w:val="18"/>
                <w:color w:val="auto"/>
              </w:rPr>
              <w:t>Japan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OJSC “The Gulidov Krasnoyarsk Non-Ferrous Metals Plant” (OJSC Krastsvetmet)</w:t>
            </w:r>
          </w:p>
        </w:tc>
        <w:tc>
          <w:tcPr>
            <w:tcW w:w="2800" w:type="dxa"/>
            <w:vAlign w:val="bottom"/>
          </w:tcPr>
          <w:p>
            <w:pPr>
              <w:ind w:left="880"/>
              <w:spacing w:after="0"/>
              <w:rPr>
                <w:sz w:val="20"/>
                <w:szCs w:val="20"/>
                <w:color w:val="auto"/>
              </w:rPr>
            </w:pPr>
            <w:r>
              <w:rPr>
                <w:rFonts w:ascii="Arial" w:cs="Arial" w:eastAsia="Arial" w:hAnsi="Arial"/>
                <w:sz w:val="18"/>
                <w:szCs w:val="18"/>
                <w:color w:val="auto"/>
              </w:rPr>
              <w:t>Russian Federation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OJSC Novosibirsk Refinery</w:t>
            </w:r>
          </w:p>
        </w:tc>
        <w:tc>
          <w:tcPr>
            <w:tcW w:w="2800" w:type="dxa"/>
            <w:vAlign w:val="bottom"/>
          </w:tcPr>
          <w:p>
            <w:pPr>
              <w:ind w:left="880"/>
              <w:spacing w:after="0"/>
              <w:rPr>
                <w:sz w:val="20"/>
                <w:szCs w:val="20"/>
                <w:color w:val="auto"/>
              </w:rPr>
            </w:pPr>
            <w:r>
              <w:rPr>
                <w:rFonts w:ascii="Arial" w:cs="Arial" w:eastAsia="Arial" w:hAnsi="Arial"/>
                <w:sz w:val="18"/>
                <w:szCs w:val="18"/>
                <w:color w:val="auto"/>
              </w:rPr>
              <w:t>Russian Federation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PAMP S.A.</w:t>
            </w:r>
          </w:p>
        </w:tc>
        <w:tc>
          <w:tcPr>
            <w:tcW w:w="2800" w:type="dxa"/>
            <w:vAlign w:val="bottom"/>
          </w:tcPr>
          <w:p>
            <w:pPr>
              <w:ind w:left="880"/>
              <w:spacing w:after="0"/>
              <w:rPr>
                <w:sz w:val="20"/>
                <w:szCs w:val="20"/>
                <w:color w:val="auto"/>
              </w:rPr>
            </w:pPr>
            <w:r>
              <w:rPr>
                <w:rFonts w:ascii="Arial" w:cs="Arial" w:eastAsia="Arial" w:hAnsi="Arial"/>
                <w:sz w:val="18"/>
                <w:szCs w:val="18"/>
                <w:color w:val="auto"/>
              </w:rPr>
              <w:t>Switzerland</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Prioksky Plant of Non-Ferrous Metals</w:t>
            </w:r>
          </w:p>
        </w:tc>
        <w:tc>
          <w:tcPr>
            <w:tcW w:w="2800" w:type="dxa"/>
            <w:vAlign w:val="bottom"/>
          </w:tcPr>
          <w:p>
            <w:pPr>
              <w:ind w:left="880"/>
              <w:spacing w:after="0"/>
              <w:rPr>
                <w:sz w:val="20"/>
                <w:szCs w:val="20"/>
                <w:color w:val="auto"/>
              </w:rPr>
            </w:pPr>
            <w:r>
              <w:rPr>
                <w:rFonts w:ascii="Arial" w:cs="Arial" w:eastAsia="Arial" w:hAnsi="Arial"/>
                <w:sz w:val="18"/>
                <w:szCs w:val="18"/>
                <w:color w:val="auto"/>
              </w:rPr>
              <w:t>Russian Federation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PT Aneka Tambang (Persero) Tbk</w:t>
            </w:r>
          </w:p>
        </w:tc>
        <w:tc>
          <w:tcPr>
            <w:tcW w:w="2800" w:type="dxa"/>
            <w:vAlign w:val="bottom"/>
          </w:tcPr>
          <w:p>
            <w:pPr>
              <w:ind w:left="880"/>
              <w:spacing w:after="0"/>
              <w:rPr>
                <w:sz w:val="20"/>
                <w:szCs w:val="20"/>
                <w:color w:val="auto"/>
              </w:rPr>
            </w:pPr>
            <w:r>
              <w:rPr>
                <w:rFonts w:ascii="Arial" w:cs="Arial" w:eastAsia="Arial" w:hAnsi="Arial"/>
                <w:sz w:val="18"/>
                <w:szCs w:val="18"/>
                <w:color w:val="auto"/>
              </w:rPr>
              <w:t>Indonesia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PX Precinox S.A.</w:t>
            </w:r>
          </w:p>
        </w:tc>
        <w:tc>
          <w:tcPr>
            <w:tcW w:w="2800" w:type="dxa"/>
            <w:vAlign w:val="bottom"/>
          </w:tcPr>
          <w:p>
            <w:pPr>
              <w:ind w:left="880"/>
              <w:spacing w:after="0"/>
              <w:rPr>
                <w:sz w:val="20"/>
                <w:szCs w:val="20"/>
                <w:color w:val="auto"/>
              </w:rPr>
            </w:pPr>
            <w:r>
              <w:rPr>
                <w:rFonts w:ascii="Arial" w:cs="Arial" w:eastAsia="Arial" w:hAnsi="Arial"/>
                <w:sz w:val="18"/>
                <w:szCs w:val="18"/>
                <w:color w:val="auto"/>
              </w:rPr>
              <w:t>Switzerland</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Rand Refinery (Pty) Ltd.</w:t>
            </w:r>
          </w:p>
        </w:tc>
        <w:tc>
          <w:tcPr>
            <w:tcW w:w="2800" w:type="dxa"/>
            <w:vAlign w:val="bottom"/>
          </w:tcPr>
          <w:p>
            <w:pPr>
              <w:ind w:left="880"/>
              <w:spacing w:after="0"/>
              <w:rPr>
                <w:sz w:val="20"/>
                <w:szCs w:val="20"/>
                <w:color w:val="auto"/>
              </w:rPr>
            </w:pPr>
            <w:r>
              <w:rPr>
                <w:rFonts w:ascii="Arial" w:cs="Arial" w:eastAsia="Arial" w:hAnsi="Arial"/>
                <w:sz w:val="18"/>
                <w:szCs w:val="18"/>
                <w:color w:val="auto"/>
              </w:rPr>
              <w:t>South Africa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Republic Metals Corporation</w:t>
            </w:r>
          </w:p>
        </w:tc>
        <w:tc>
          <w:tcPr>
            <w:tcW w:w="2800" w:type="dxa"/>
            <w:vAlign w:val="bottom"/>
          </w:tcPr>
          <w:p>
            <w:pPr>
              <w:ind w:left="880"/>
              <w:spacing w:after="0"/>
              <w:rPr>
                <w:sz w:val="20"/>
                <w:szCs w:val="20"/>
                <w:color w:val="auto"/>
              </w:rPr>
            </w:pPr>
            <w:r>
              <w:rPr>
                <w:rFonts w:ascii="Arial" w:cs="Arial" w:eastAsia="Arial" w:hAnsi="Arial"/>
                <w:sz w:val="18"/>
                <w:szCs w:val="18"/>
                <w:color w:val="auto"/>
                <w:w w:val="95"/>
              </w:rPr>
              <w:t>United States of America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Royal Canadian Mint</w:t>
            </w:r>
          </w:p>
        </w:tc>
        <w:tc>
          <w:tcPr>
            <w:tcW w:w="2800" w:type="dxa"/>
            <w:vAlign w:val="bottom"/>
          </w:tcPr>
          <w:p>
            <w:pPr>
              <w:ind w:left="880"/>
              <w:spacing w:after="0"/>
              <w:rPr>
                <w:sz w:val="20"/>
                <w:szCs w:val="20"/>
                <w:color w:val="auto"/>
              </w:rPr>
            </w:pPr>
            <w:r>
              <w:rPr>
                <w:rFonts w:ascii="Arial" w:cs="Arial" w:eastAsia="Arial" w:hAnsi="Arial"/>
                <w:sz w:val="18"/>
                <w:szCs w:val="18"/>
                <w:color w:val="auto"/>
              </w:rPr>
              <w:t>Canada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Samduck Precious Metals</w:t>
            </w:r>
          </w:p>
        </w:tc>
        <w:tc>
          <w:tcPr>
            <w:tcW w:w="2800" w:type="dxa"/>
            <w:vAlign w:val="bottom"/>
          </w:tcPr>
          <w:p>
            <w:pPr>
              <w:ind w:left="880"/>
              <w:spacing w:after="0"/>
              <w:rPr>
                <w:sz w:val="20"/>
                <w:szCs w:val="20"/>
                <w:color w:val="auto"/>
              </w:rPr>
            </w:pPr>
            <w:r>
              <w:rPr>
                <w:rFonts w:ascii="Arial" w:cs="Arial" w:eastAsia="Arial" w:hAnsi="Arial"/>
                <w:sz w:val="18"/>
                <w:szCs w:val="18"/>
                <w:color w:val="auto"/>
              </w:rPr>
              <w:t>Korea (Republic of)</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SAXONIA Edelmetalle GmbH</w:t>
            </w:r>
          </w:p>
        </w:tc>
        <w:tc>
          <w:tcPr>
            <w:tcW w:w="2800" w:type="dxa"/>
            <w:vAlign w:val="bottom"/>
          </w:tcPr>
          <w:p>
            <w:pPr>
              <w:ind w:left="880"/>
              <w:spacing w:after="0"/>
              <w:rPr>
                <w:sz w:val="20"/>
                <w:szCs w:val="20"/>
                <w:color w:val="auto"/>
              </w:rPr>
            </w:pPr>
            <w:r>
              <w:rPr>
                <w:rFonts w:ascii="Arial" w:cs="Arial" w:eastAsia="Arial" w:hAnsi="Arial"/>
                <w:sz w:val="18"/>
                <w:szCs w:val="18"/>
                <w:color w:val="auto"/>
              </w:rPr>
              <w:t>Germany</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Schone Edelmetaal B.V.</w:t>
            </w:r>
          </w:p>
        </w:tc>
        <w:tc>
          <w:tcPr>
            <w:tcW w:w="2800" w:type="dxa"/>
            <w:vAlign w:val="bottom"/>
          </w:tcPr>
          <w:p>
            <w:pPr>
              <w:ind w:left="880"/>
              <w:spacing w:after="0"/>
              <w:rPr>
                <w:sz w:val="20"/>
                <w:szCs w:val="20"/>
                <w:color w:val="auto"/>
              </w:rPr>
            </w:pPr>
            <w:r>
              <w:rPr>
                <w:rFonts w:ascii="Arial" w:cs="Arial" w:eastAsia="Arial" w:hAnsi="Arial"/>
                <w:sz w:val="18"/>
                <w:szCs w:val="18"/>
                <w:color w:val="auto"/>
              </w:rPr>
              <w:t>Netherlands</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SEMPSA Joyeria Plateria S.A.</w:t>
            </w:r>
          </w:p>
        </w:tc>
        <w:tc>
          <w:tcPr>
            <w:tcW w:w="2800" w:type="dxa"/>
            <w:vAlign w:val="bottom"/>
          </w:tcPr>
          <w:p>
            <w:pPr>
              <w:ind w:left="880"/>
              <w:spacing w:after="0"/>
              <w:rPr>
                <w:sz w:val="20"/>
                <w:szCs w:val="20"/>
                <w:color w:val="auto"/>
              </w:rPr>
            </w:pPr>
            <w:r>
              <w:rPr>
                <w:rFonts w:ascii="Arial" w:cs="Arial" w:eastAsia="Arial" w:hAnsi="Arial"/>
                <w:sz w:val="18"/>
                <w:szCs w:val="18"/>
                <w:color w:val="auto"/>
              </w:rPr>
              <w:t>Spain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Shandong Zhaojin Gold &amp; Silver Refinery Co., Ltd.</w:t>
            </w:r>
          </w:p>
        </w:tc>
        <w:tc>
          <w:tcPr>
            <w:tcW w:w="280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Sichuan Tianze Precious Metals Co., Ltd.</w:t>
            </w:r>
          </w:p>
        </w:tc>
        <w:tc>
          <w:tcPr>
            <w:tcW w:w="280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Singway Technology Co., Ltd.</w:t>
            </w:r>
          </w:p>
        </w:tc>
        <w:tc>
          <w:tcPr>
            <w:tcW w:w="2800" w:type="dxa"/>
            <w:vAlign w:val="bottom"/>
          </w:tcPr>
          <w:p>
            <w:pPr>
              <w:ind w:left="880"/>
              <w:spacing w:after="0"/>
              <w:rPr>
                <w:sz w:val="20"/>
                <w:szCs w:val="20"/>
                <w:color w:val="auto"/>
              </w:rPr>
            </w:pPr>
            <w:r>
              <w:rPr>
                <w:rFonts w:ascii="Arial" w:cs="Arial" w:eastAsia="Arial" w:hAnsi="Arial"/>
                <w:sz w:val="18"/>
                <w:szCs w:val="18"/>
                <w:color w:val="auto"/>
                <w:w w:val="90"/>
              </w:rPr>
              <w:t>Taiwan, Province of China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SOE Shyolkovsky Factory of Secondary Precious Metals</w:t>
            </w:r>
          </w:p>
        </w:tc>
        <w:tc>
          <w:tcPr>
            <w:tcW w:w="2800" w:type="dxa"/>
            <w:vAlign w:val="bottom"/>
          </w:tcPr>
          <w:p>
            <w:pPr>
              <w:ind w:left="880"/>
              <w:spacing w:after="0"/>
              <w:rPr>
                <w:sz w:val="20"/>
                <w:szCs w:val="20"/>
                <w:color w:val="auto"/>
              </w:rPr>
            </w:pPr>
            <w:r>
              <w:rPr>
                <w:rFonts w:ascii="Arial" w:cs="Arial" w:eastAsia="Arial" w:hAnsi="Arial"/>
                <w:sz w:val="18"/>
                <w:szCs w:val="18"/>
                <w:color w:val="auto"/>
              </w:rPr>
              <w:t>Russian Federation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Solar Applied Materials Technology Corp.</w:t>
            </w:r>
          </w:p>
        </w:tc>
        <w:tc>
          <w:tcPr>
            <w:tcW w:w="2800" w:type="dxa"/>
            <w:vAlign w:val="bottom"/>
          </w:tcPr>
          <w:p>
            <w:pPr>
              <w:ind w:left="880"/>
              <w:spacing w:after="0"/>
              <w:rPr>
                <w:sz w:val="20"/>
                <w:szCs w:val="20"/>
                <w:color w:val="auto"/>
              </w:rPr>
            </w:pPr>
            <w:r>
              <w:rPr>
                <w:rFonts w:ascii="Arial" w:cs="Arial" w:eastAsia="Arial" w:hAnsi="Arial"/>
                <w:sz w:val="18"/>
                <w:szCs w:val="18"/>
                <w:color w:val="auto"/>
                <w:w w:val="90"/>
              </w:rPr>
              <w:t>Taiwan, Province of China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Sumitomo Metal Mining Co., Ltd.</w:t>
            </w:r>
          </w:p>
        </w:tc>
        <w:tc>
          <w:tcPr>
            <w:tcW w:w="2800" w:type="dxa"/>
            <w:vAlign w:val="bottom"/>
          </w:tcPr>
          <w:p>
            <w:pPr>
              <w:ind w:left="880"/>
              <w:spacing w:after="0"/>
              <w:rPr>
                <w:sz w:val="20"/>
                <w:szCs w:val="20"/>
                <w:color w:val="auto"/>
              </w:rPr>
            </w:pPr>
            <w:r>
              <w:rPr>
                <w:rFonts w:ascii="Arial" w:cs="Arial" w:eastAsia="Arial" w:hAnsi="Arial"/>
                <w:sz w:val="18"/>
                <w:szCs w:val="18"/>
                <w:color w:val="auto"/>
              </w:rPr>
              <w:t>Japan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Gold</w:t>
            </w:r>
          </w:p>
        </w:tc>
        <w:tc>
          <w:tcPr>
            <w:tcW w:w="7160" w:type="dxa"/>
            <w:vAlign w:val="bottom"/>
          </w:tcPr>
          <w:p>
            <w:pPr>
              <w:ind w:left="280"/>
              <w:spacing w:after="0"/>
              <w:rPr>
                <w:sz w:val="20"/>
                <w:szCs w:val="20"/>
                <w:color w:val="auto"/>
              </w:rPr>
            </w:pPr>
            <w:r>
              <w:rPr>
                <w:rFonts w:ascii="Arial" w:cs="Arial" w:eastAsia="Arial" w:hAnsi="Arial"/>
                <w:sz w:val="18"/>
                <w:szCs w:val="18"/>
                <w:color w:val="auto"/>
              </w:rPr>
              <w:t>T.C.A S.p.A</w:t>
            </w:r>
          </w:p>
        </w:tc>
        <w:tc>
          <w:tcPr>
            <w:tcW w:w="2800" w:type="dxa"/>
            <w:vAlign w:val="bottom"/>
          </w:tcPr>
          <w:p>
            <w:pPr>
              <w:ind w:left="880"/>
              <w:spacing w:after="0"/>
              <w:rPr>
                <w:sz w:val="20"/>
                <w:szCs w:val="20"/>
                <w:color w:val="auto"/>
              </w:rPr>
            </w:pPr>
            <w:r>
              <w:rPr>
                <w:rFonts w:ascii="Arial" w:cs="Arial" w:eastAsia="Arial" w:hAnsi="Arial"/>
                <w:sz w:val="18"/>
                <w:szCs w:val="18"/>
                <w:color w:val="auto"/>
              </w:rPr>
              <w:t>Italy</w:t>
            </w:r>
          </w:p>
        </w:tc>
      </w:tr>
      <w:tr>
        <w:trPr>
          <w:trHeight w:val="365"/>
        </w:trPr>
        <w:tc>
          <w:tcPr>
            <w:tcW w:w="640" w:type="dxa"/>
            <w:vAlign w:val="bottom"/>
          </w:tcPr>
          <w:p>
            <w:pPr>
              <w:spacing w:after="0"/>
              <w:rPr>
                <w:sz w:val="24"/>
                <w:szCs w:val="24"/>
                <w:color w:val="auto"/>
              </w:rPr>
            </w:pPr>
          </w:p>
        </w:tc>
        <w:tc>
          <w:tcPr>
            <w:tcW w:w="7160" w:type="dxa"/>
            <w:vAlign w:val="bottom"/>
          </w:tcPr>
          <w:p>
            <w:pPr>
              <w:ind w:left="4560"/>
              <w:spacing w:after="0"/>
              <w:rPr>
                <w:sz w:val="20"/>
                <w:szCs w:val="20"/>
                <w:color w:val="auto"/>
              </w:rPr>
            </w:pPr>
            <w:r>
              <w:rPr>
                <w:rFonts w:ascii="Arial" w:cs="Arial" w:eastAsia="Arial" w:hAnsi="Arial"/>
                <w:sz w:val="18"/>
                <w:szCs w:val="18"/>
                <w:color w:val="auto"/>
              </w:rPr>
              <w:t>6</w:t>
            </w:r>
          </w:p>
        </w:tc>
        <w:tc>
          <w:tcPr>
            <w:tcW w:w="2800" w:type="dxa"/>
            <w:vAlign w:val="bottom"/>
          </w:tcPr>
          <w:p>
            <w:pPr>
              <w:spacing w:after="0"/>
              <w:rPr>
                <w:sz w:val="24"/>
                <w:szCs w:val="24"/>
                <w:color w:val="auto"/>
              </w:rPr>
            </w:pPr>
          </w:p>
        </w:tc>
      </w:tr>
    </w:tbl>
    <w:p>
      <w:pPr>
        <w:sectPr>
          <w:pgSz w:w="11900" w:h="16838" w:orient="portrait"/>
          <w:cols w:equalWidth="0" w:num="1">
            <w:col w:w="10600"/>
          </w:cols>
          <w:pgMar w:left="700" w:top="274" w:right="59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4"/>
              </w:rPr>
              <w:t>Gold</w:t>
            </w:r>
          </w:p>
        </w:tc>
        <w:tc>
          <w:tcPr>
            <w:tcW w:w="4380" w:type="dxa"/>
            <w:vAlign w:val="bottom"/>
          </w:tcPr>
          <w:p>
            <w:pPr>
              <w:ind w:left="200"/>
              <w:spacing w:after="0"/>
              <w:rPr>
                <w:sz w:val="20"/>
                <w:szCs w:val="20"/>
                <w:color w:val="auto"/>
              </w:rPr>
            </w:pPr>
            <w:r>
              <w:rPr>
                <w:rFonts w:ascii="Arial" w:cs="Arial" w:eastAsia="Arial" w:hAnsi="Arial"/>
                <w:sz w:val="18"/>
                <w:szCs w:val="18"/>
                <w:color w:val="auto"/>
              </w:rPr>
              <w:t>Tanaka Kikinzoku Kogyo K.K.</w:t>
            </w:r>
          </w:p>
        </w:tc>
        <w:tc>
          <w:tcPr>
            <w:tcW w:w="5400" w:type="dxa"/>
            <w:vAlign w:val="bottom"/>
          </w:tcPr>
          <w:p>
            <w:pPr>
              <w:ind w:left="35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4"/>
              </w:rPr>
              <w:t>Gold</w:t>
            </w:r>
          </w:p>
        </w:tc>
        <w:tc>
          <w:tcPr>
            <w:tcW w:w="4380" w:type="dxa"/>
            <w:vAlign w:val="bottom"/>
          </w:tcPr>
          <w:p>
            <w:pPr>
              <w:ind w:left="200"/>
              <w:spacing w:after="0"/>
              <w:rPr>
                <w:sz w:val="20"/>
                <w:szCs w:val="20"/>
                <w:color w:val="auto"/>
              </w:rPr>
            </w:pPr>
            <w:r>
              <w:rPr>
                <w:rFonts w:ascii="Arial" w:cs="Arial" w:eastAsia="Arial" w:hAnsi="Arial"/>
                <w:sz w:val="18"/>
                <w:szCs w:val="18"/>
                <w:color w:val="auto"/>
              </w:rPr>
              <w:t>Tokuriki Honten Co., Ltd.</w:t>
            </w:r>
          </w:p>
        </w:tc>
        <w:tc>
          <w:tcPr>
            <w:tcW w:w="5400" w:type="dxa"/>
            <w:vAlign w:val="bottom"/>
          </w:tcPr>
          <w:p>
            <w:pPr>
              <w:ind w:left="35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4"/>
              </w:rPr>
              <w:t>Gold</w:t>
            </w:r>
          </w:p>
        </w:tc>
        <w:tc>
          <w:tcPr>
            <w:tcW w:w="4380" w:type="dxa"/>
            <w:vAlign w:val="bottom"/>
          </w:tcPr>
          <w:p>
            <w:pPr>
              <w:ind w:left="200"/>
              <w:spacing w:after="0"/>
              <w:rPr>
                <w:sz w:val="20"/>
                <w:szCs w:val="20"/>
                <w:color w:val="auto"/>
              </w:rPr>
            </w:pPr>
            <w:r>
              <w:rPr>
                <w:rFonts w:ascii="Arial" w:cs="Arial" w:eastAsia="Arial" w:hAnsi="Arial"/>
                <w:sz w:val="18"/>
                <w:szCs w:val="18"/>
                <w:color w:val="auto"/>
              </w:rPr>
              <w:t>Torecom</w:t>
            </w:r>
          </w:p>
        </w:tc>
        <w:tc>
          <w:tcPr>
            <w:tcW w:w="5400" w:type="dxa"/>
            <w:vAlign w:val="bottom"/>
          </w:tcPr>
          <w:p>
            <w:pPr>
              <w:ind w:left="3580"/>
              <w:spacing w:after="0"/>
              <w:rPr>
                <w:sz w:val="20"/>
                <w:szCs w:val="20"/>
                <w:color w:val="auto"/>
              </w:rPr>
            </w:pPr>
            <w:r>
              <w:rPr>
                <w:rFonts w:ascii="Arial" w:cs="Arial" w:eastAsia="Arial" w:hAnsi="Arial"/>
                <w:sz w:val="18"/>
                <w:szCs w:val="18"/>
                <w:color w:val="auto"/>
              </w:rPr>
              <w:t>Korea (Republic of)</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4"/>
              </w:rPr>
              <w:t>Gold</w:t>
            </w:r>
          </w:p>
        </w:tc>
        <w:tc>
          <w:tcPr>
            <w:tcW w:w="4380" w:type="dxa"/>
            <w:vAlign w:val="bottom"/>
          </w:tcPr>
          <w:p>
            <w:pPr>
              <w:ind w:left="200"/>
              <w:spacing w:after="0"/>
              <w:rPr>
                <w:sz w:val="20"/>
                <w:szCs w:val="20"/>
                <w:color w:val="auto"/>
              </w:rPr>
            </w:pPr>
            <w:r>
              <w:rPr>
                <w:rFonts w:ascii="Arial" w:cs="Arial" w:eastAsia="Arial" w:hAnsi="Arial"/>
                <w:sz w:val="18"/>
                <w:szCs w:val="18"/>
                <w:color w:val="auto"/>
              </w:rPr>
              <w:t>Umicore Brasil Ltda.</w:t>
            </w:r>
          </w:p>
        </w:tc>
        <w:tc>
          <w:tcPr>
            <w:tcW w:w="5400" w:type="dxa"/>
            <w:vAlign w:val="bottom"/>
          </w:tcPr>
          <w:p>
            <w:pPr>
              <w:ind w:left="3580"/>
              <w:spacing w:after="0"/>
              <w:rPr>
                <w:sz w:val="20"/>
                <w:szCs w:val="20"/>
                <w:color w:val="auto"/>
              </w:rPr>
            </w:pPr>
            <w:r>
              <w:rPr>
                <w:rFonts w:ascii="Arial" w:cs="Arial" w:eastAsia="Arial" w:hAnsi="Arial"/>
                <w:sz w:val="18"/>
                <w:szCs w:val="18"/>
                <w:color w:val="auto"/>
              </w:rPr>
              <w:t>Brazil</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4"/>
              </w:rPr>
              <w:t>Gold</w:t>
            </w:r>
          </w:p>
        </w:tc>
        <w:tc>
          <w:tcPr>
            <w:tcW w:w="4380" w:type="dxa"/>
            <w:vAlign w:val="bottom"/>
          </w:tcPr>
          <w:p>
            <w:pPr>
              <w:ind w:left="200"/>
              <w:spacing w:after="0"/>
              <w:rPr>
                <w:sz w:val="20"/>
                <w:szCs w:val="20"/>
                <w:color w:val="auto"/>
              </w:rPr>
            </w:pPr>
            <w:r>
              <w:rPr>
                <w:rFonts w:ascii="Arial" w:cs="Arial" w:eastAsia="Arial" w:hAnsi="Arial"/>
                <w:sz w:val="18"/>
                <w:szCs w:val="18"/>
                <w:color w:val="auto"/>
                <w:w w:val="97"/>
              </w:rPr>
              <w:t>Umicore S.A. Business Unit Precious Metals Refining</w:t>
            </w:r>
          </w:p>
        </w:tc>
        <w:tc>
          <w:tcPr>
            <w:tcW w:w="5400" w:type="dxa"/>
            <w:vAlign w:val="bottom"/>
          </w:tcPr>
          <w:p>
            <w:pPr>
              <w:ind w:left="3580"/>
              <w:spacing w:after="0"/>
              <w:rPr>
                <w:sz w:val="20"/>
                <w:szCs w:val="20"/>
                <w:color w:val="auto"/>
              </w:rPr>
            </w:pPr>
            <w:r>
              <w:rPr>
                <w:rFonts w:ascii="Arial" w:cs="Arial" w:eastAsia="Arial" w:hAnsi="Arial"/>
                <w:sz w:val="18"/>
                <w:szCs w:val="18"/>
                <w:color w:val="auto"/>
              </w:rPr>
              <w:t>Belgium</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4"/>
              </w:rPr>
              <w:t>Gold</w:t>
            </w:r>
          </w:p>
        </w:tc>
        <w:tc>
          <w:tcPr>
            <w:tcW w:w="4380" w:type="dxa"/>
            <w:vAlign w:val="bottom"/>
          </w:tcPr>
          <w:p>
            <w:pPr>
              <w:ind w:left="200"/>
              <w:spacing w:after="0"/>
              <w:rPr>
                <w:sz w:val="20"/>
                <w:szCs w:val="20"/>
                <w:color w:val="auto"/>
              </w:rPr>
            </w:pPr>
            <w:r>
              <w:rPr>
                <w:rFonts w:ascii="Arial" w:cs="Arial" w:eastAsia="Arial" w:hAnsi="Arial"/>
                <w:sz w:val="18"/>
                <w:szCs w:val="18"/>
                <w:color w:val="auto"/>
              </w:rPr>
              <w:t>Umicore Precious Metals Thailand</w:t>
            </w:r>
          </w:p>
        </w:tc>
        <w:tc>
          <w:tcPr>
            <w:tcW w:w="5400" w:type="dxa"/>
            <w:vAlign w:val="bottom"/>
          </w:tcPr>
          <w:p>
            <w:pPr>
              <w:ind w:left="3580"/>
              <w:spacing w:after="0"/>
              <w:rPr>
                <w:sz w:val="20"/>
                <w:szCs w:val="20"/>
                <w:color w:val="auto"/>
              </w:rPr>
            </w:pPr>
            <w:r>
              <w:rPr>
                <w:rFonts w:ascii="Arial" w:cs="Arial" w:eastAsia="Arial" w:hAnsi="Arial"/>
                <w:sz w:val="18"/>
                <w:szCs w:val="18"/>
                <w:color w:val="auto"/>
              </w:rPr>
              <w:t>Thailand</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4"/>
              </w:rPr>
              <w:t>Gold</w:t>
            </w:r>
          </w:p>
        </w:tc>
        <w:tc>
          <w:tcPr>
            <w:tcW w:w="4380" w:type="dxa"/>
            <w:vAlign w:val="bottom"/>
          </w:tcPr>
          <w:p>
            <w:pPr>
              <w:ind w:left="200"/>
              <w:spacing w:after="0"/>
              <w:rPr>
                <w:sz w:val="20"/>
                <w:szCs w:val="20"/>
                <w:color w:val="auto"/>
              </w:rPr>
            </w:pPr>
            <w:r>
              <w:rPr>
                <w:rFonts w:ascii="Arial" w:cs="Arial" w:eastAsia="Arial" w:hAnsi="Arial"/>
                <w:sz w:val="18"/>
                <w:szCs w:val="18"/>
                <w:color w:val="auto"/>
              </w:rPr>
              <w:t>United Precious Metal Refining, Inc.</w:t>
            </w:r>
          </w:p>
        </w:tc>
        <w:tc>
          <w:tcPr>
            <w:tcW w:w="5400" w:type="dxa"/>
            <w:vAlign w:val="bottom"/>
          </w:tcPr>
          <w:p>
            <w:pPr>
              <w:ind w:left="358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4"/>
              </w:rPr>
              <w:t>Gold</w:t>
            </w:r>
          </w:p>
        </w:tc>
        <w:tc>
          <w:tcPr>
            <w:tcW w:w="4380" w:type="dxa"/>
            <w:vAlign w:val="bottom"/>
          </w:tcPr>
          <w:p>
            <w:pPr>
              <w:ind w:left="200"/>
              <w:spacing w:after="0"/>
              <w:rPr>
                <w:sz w:val="20"/>
                <w:szCs w:val="20"/>
                <w:color w:val="auto"/>
              </w:rPr>
            </w:pPr>
            <w:r>
              <w:rPr>
                <w:rFonts w:ascii="Arial" w:cs="Arial" w:eastAsia="Arial" w:hAnsi="Arial"/>
                <w:sz w:val="18"/>
                <w:szCs w:val="18"/>
                <w:color w:val="auto"/>
              </w:rPr>
              <w:t>Valcambi S.A.</w:t>
            </w:r>
          </w:p>
        </w:tc>
        <w:tc>
          <w:tcPr>
            <w:tcW w:w="5400" w:type="dxa"/>
            <w:vAlign w:val="bottom"/>
          </w:tcPr>
          <w:p>
            <w:pPr>
              <w:ind w:left="3580"/>
              <w:spacing w:after="0"/>
              <w:rPr>
                <w:sz w:val="20"/>
                <w:szCs w:val="20"/>
                <w:color w:val="auto"/>
              </w:rPr>
            </w:pPr>
            <w:r>
              <w:rPr>
                <w:rFonts w:ascii="Arial" w:cs="Arial" w:eastAsia="Arial" w:hAnsi="Arial"/>
                <w:sz w:val="18"/>
                <w:szCs w:val="18"/>
                <w:color w:val="auto"/>
              </w:rPr>
              <w:t>Switzerland</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4"/>
              </w:rPr>
              <w:t>Gold</w:t>
            </w:r>
          </w:p>
        </w:tc>
        <w:tc>
          <w:tcPr>
            <w:tcW w:w="4380" w:type="dxa"/>
            <w:vAlign w:val="bottom"/>
          </w:tcPr>
          <w:p>
            <w:pPr>
              <w:ind w:left="200"/>
              <w:spacing w:after="0"/>
              <w:rPr>
                <w:sz w:val="20"/>
                <w:szCs w:val="20"/>
                <w:color w:val="auto"/>
              </w:rPr>
            </w:pPr>
            <w:r>
              <w:rPr>
                <w:rFonts w:ascii="Arial" w:cs="Arial" w:eastAsia="Arial" w:hAnsi="Arial"/>
                <w:sz w:val="18"/>
                <w:szCs w:val="18"/>
                <w:color w:val="auto"/>
              </w:rPr>
              <w:t>Western Australian Mint (T/a The Perth Mint)</w:t>
            </w:r>
          </w:p>
        </w:tc>
        <w:tc>
          <w:tcPr>
            <w:tcW w:w="5400" w:type="dxa"/>
            <w:vAlign w:val="bottom"/>
          </w:tcPr>
          <w:p>
            <w:pPr>
              <w:ind w:left="3580"/>
              <w:spacing w:after="0"/>
              <w:rPr>
                <w:sz w:val="20"/>
                <w:szCs w:val="20"/>
                <w:color w:val="auto"/>
              </w:rPr>
            </w:pPr>
            <w:r>
              <w:rPr>
                <w:rFonts w:ascii="Arial" w:cs="Arial" w:eastAsia="Arial" w:hAnsi="Arial"/>
                <w:sz w:val="18"/>
                <w:szCs w:val="18"/>
                <w:color w:val="auto"/>
              </w:rPr>
              <w:t>Australia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4"/>
              </w:rPr>
              <w:t>Gold</w:t>
            </w:r>
          </w:p>
        </w:tc>
        <w:tc>
          <w:tcPr>
            <w:tcW w:w="4380" w:type="dxa"/>
            <w:vAlign w:val="bottom"/>
          </w:tcPr>
          <w:p>
            <w:pPr>
              <w:ind w:left="200"/>
              <w:spacing w:after="0"/>
              <w:rPr>
                <w:sz w:val="20"/>
                <w:szCs w:val="20"/>
                <w:color w:val="auto"/>
              </w:rPr>
            </w:pPr>
            <w:r>
              <w:rPr>
                <w:rFonts w:ascii="Arial" w:cs="Arial" w:eastAsia="Arial" w:hAnsi="Arial"/>
                <w:sz w:val="18"/>
                <w:szCs w:val="18"/>
                <w:color w:val="auto"/>
              </w:rPr>
              <w:t>WIELAND Edelmetalle GmbH</w:t>
            </w:r>
          </w:p>
        </w:tc>
        <w:tc>
          <w:tcPr>
            <w:tcW w:w="5400" w:type="dxa"/>
            <w:vAlign w:val="bottom"/>
          </w:tcPr>
          <w:p>
            <w:pPr>
              <w:ind w:left="3580"/>
              <w:spacing w:after="0"/>
              <w:rPr>
                <w:sz w:val="20"/>
                <w:szCs w:val="20"/>
                <w:color w:val="auto"/>
              </w:rPr>
            </w:pPr>
            <w:r>
              <w:rPr>
                <w:rFonts w:ascii="Arial" w:cs="Arial" w:eastAsia="Arial" w:hAnsi="Arial"/>
                <w:sz w:val="18"/>
                <w:szCs w:val="18"/>
                <w:color w:val="auto"/>
              </w:rPr>
              <w:t>Germany</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4"/>
              </w:rPr>
              <w:t>Gold</w:t>
            </w:r>
          </w:p>
        </w:tc>
        <w:tc>
          <w:tcPr>
            <w:tcW w:w="4380" w:type="dxa"/>
            <w:vAlign w:val="bottom"/>
          </w:tcPr>
          <w:p>
            <w:pPr>
              <w:ind w:left="200"/>
              <w:spacing w:after="0"/>
              <w:rPr>
                <w:sz w:val="20"/>
                <w:szCs w:val="20"/>
                <w:color w:val="auto"/>
              </w:rPr>
            </w:pPr>
            <w:r>
              <w:rPr>
                <w:rFonts w:ascii="Arial" w:cs="Arial" w:eastAsia="Arial" w:hAnsi="Arial"/>
                <w:sz w:val="18"/>
                <w:szCs w:val="18"/>
                <w:color w:val="auto"/>
              </w:rPr>
              <w:t>Yamakin Co., Ltd.</w:t>
            </w:r>
          </w:p>
        </w:tc>
        <w:tc>
          <w:tcPr>
            <w:tcW w:w="5400" w:type="dxa"/>
            <w:vAlign w:val="bottom"/>
          </w:tcPr>
          <w:p>
            <w:pPr>
              <w:ind w:left="35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4"/>
              </w:rPr>
              <w:t>Gold</w:t>
            </w:r>
          </w:p>
        </w:tc>
        <w:tc>
          <w:tcPr>
            <w:tcW w:w="4380" w:type="dxa"/>
            <w:vAlign w:val="bottom"/>
          </w:tcPr>
          <w:p>
            <w:pPr>
              <w:ind w:left="200"/>
              <w:spacing w:after="0"/>
              <w:rPr>
                <w:sz w:val="20"/>
                <w:szCs w:val="20"/>
                <w:color w:val="auto"/>
              </w:rPr>
            </w:pPr>
            <w:r>
              <w:rPr>
                <w:rFonts w:ascii="Arial" w:cs="Arial" w:eastAsia="Arial" w:hAnsi="Arial"/>
                <w:sz w:val="18"/>
                <w:szCs w:val="18"/>
                <w:color w:val="auto"/>
              </w:rPr>
              <w:t>Yokohama Metal Co., Ltd.</w:t>
            </w:r>
          </w:p>
        </w:tc>
        <w:tc>
          <w:tcPr>
            <w:tcW w:w="5400" w:type="dxa"/>
            <w:vAlign w:val="bottom"/>
          </w:tcPr>
          <w:p>
            <w:pPr>
              <w:ind w:left="35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4"/>
              </w:rPr>
              <w:t>Gold</w:t>
            </w:r>
          </w:p>
        </w:tc>
        <w:tc>
          <w:tcPr>
            <w:tcW w:w="4380" w:type="dxa"/>
            <w:vAlign w:val="bottom"/>
          </w:tcPr>
          <w:p>
            <w:pPr>
              <w:ind w:left="200"/>
              <w:spacing w:after="0"/>
              <w:rPr>
                <w:sz w:val="20"/>
                <w:szCs w:val="20"/>
                <w:color w:val="auto"/>
              </w:rPr>
            </w:pPr>
            <w:r>
              <w:rPr>
                <w:rFonts w:ascii="Arial" w:cs="Arial" w:eastAsia="Arial" w:hAnsi="Arial"/>
                <w:sz w:val="18"/>
                <w:szCs w:val="18"/>
                <w:color w:val="auto"/>
                <w:w w:val="95"/>
              </w:rPr>
              <w:t>Zhongyuan Gold Smelter of Zhongjin Gold Corporation</w:t>
            </w:r>
          </w:p>
        </w:tc>
        <w:tc>
          <w:tcPr>
            <w:tcW w:w="5400" w:type="dxa"/>
            <w:vAlign w:val="bottom"/>
          </w:tcPr>
          <w:p>
            <w:pPr>
              <w:ind w:left="35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Changsha South Tantalum Niobium Co., Ltd.</w:t>
            </w:r>
          </w:p>
        </w:tc>
        <w:tc>
          <w:tcPr>
            <w:tcW w:w="5400" w:type="dxa"/>
            <w:vAlign w:val="bottom"/>
          </w:tcPr>
          <w:p>
            <w:pPr>
              <w:ind w:left="35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D Block Metals, LLC</w:t>
            </w:r>
          </w:p>
        </w:tc>
        <w:tc>
          <w:tcPr>
            <w:tcW w:w="5400" w:type="dxa"/>
            <w:vAlign w:val="bottom"/>
          </w:tcPr>
          <w:p>
            <w:pPr>
              <w:ind w:left="358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Exotech Inc.</w:t>
            </w:r>
          </w:p>
        </w:tc>
        <w:tc>
          <w:tcPr>
            <w:tcW w:w="5400" w:type="dxa"/>
            <w:vAlign w:val="bottom"/>
          </w:tcPr>
          <w:p>
            <w:pPr>
              <w:ind w:left="358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F&amp;X Electro-Materials Ltd.</w:t>
            </w:r>
          </w:p>
        </w:tc>
        <w:tc>
          <w:tcPr>
            <w:tcW w:w="5400" w:type="dxa"/>
            <w:vAlign w:val="bottom"/>
          </w:tcPr>
          <w:p>
            <w:pPr>
              <w:ind w:left="35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FIR Metals &amp; Resource Ltd.</w:t>
            </w:r>
          </w:p>
        </w:tc>
        <w:tc>
          <w:tcPr>
            <w:tcW w:w="5400" w:type="dxa"/>
            <w:vAlign w:val="bottom"/>
          </w:tcPr>
          <w:p>
            <w:pPr>
              <w:ind w:left="35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Global Advanced Metals Aizu</w:t>
            </w:r>
          </w:p>
        </w:tc>
        <w:tc>
          <w:tcPr>
            <w:tcW w:w="5400" w:type="dxa"/>
            <w:vAlign w:val="bottom"/>
          </w:tcPr>
          <w:p>
            <w:pPr>
              <w:ind w:left="35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Global Advanced Metals Boyertown</w:t>
            </w:r>
          </w:p>
        </w:tc>
        <w:tc>
          <w:tcPr>
            <w:tcW w:w="5400" w:type="dxa"/>
            <w:vAlign w:val="bottom"/>
          </w:tcPr>
          <w:p>
            <w:pPr>
              <w:ind w:left="358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Guangdong Rising Rare Metals-EO Materials Ltd.</w:t>
            </w:r>
          </w:p>
        </w:tc>
        <w:tc>
          <w:tcPr>
            <w:tcW w:w="5400" w:type="dxa"/>
            <w:vAlign w:val="bottom"/>
          </w:tcPr>
          <w:p>
            <w:pPr>
              <w:ind w:left="35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Guangdong Zhiyuan New Material Co., Ltd.</w:t>
            </w:r>
          </w:p>
        </w:tc>
        <w:tc>
          <w:tcPr>
            <w:tcW w:w="5400" w:type="dxa"/>
            <w:vAlign w:val="bottom"/>
          </w:tcPr>
          <w:p>
            <w:pPr>
              <w:ind w:left="35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H.C. Starck Co., Ltd.</w:t>
            </w:r>
          </w:p>
        </w:tc>
        <w:tc>
          <w:tcPr>
            <w:tcW w:w="5400" w:type="dxa"/>
            <w:vAlign w:val="bottom"/>
          </w:tcPr>
          <w:p>
            <w:pPr>
              <w:ind w:left="3580"/>
              <w:spacing w:after="0"/>
              <w:rPr>
                <w:sz w:val="20"/>
                <w:szCs w:val="20"/>
                <w:color w:val="auto"/>
              </w:rPr>
            </w:pPr>
            <w:r>
              <w:rPr>
                <w:rFonts w:ascii="Arial" w:cs="Arial" w:eastAsia="Arial" w:hAnsi="Arial"/>
                <w:sz w:val="18"/>
                <w:szCs w:val="18"/>
                <w:color w:val="auto"/>
              </w:rPr>
              <w:t>Thailand</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H.C. Starck Hermsdorf GmbH</w:t>
            </w:r>
          </w:p>
        </w:tc>
        <w:tc>
          <w:tcPr>
            <w:tcW w:w="5400" w:type="dxa"/>
            <w:vAlign w:val="bottom"/>
          </w:tcPr>
          <w:p>
            <w:pPr>
              <w:ind w:left="3580"/>
              <w:spacing w:after="0"/>
              <w:rPr>
                <w:sz w:val="20"/>
                <w:szCs w:val="20"/>
                <w:color w:val="auto"/>
              </w:rPr>
            </w:pPr>
            <w:r>
              <w:rPr>
                <w:rFonts w:ascii="Arial" w:cs="Arial" w:eastAsia="Arial" w:hAnsi="Arial"/>
                <w:sz w:val="18"/>
                <w:szCs w:val="18"/>
                <w:color w:val="auto"/>
              </w:rPr>
              <w:t>Germany</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H.C. Starck Inc.</w:t>
            </w:r>
          </w:p>
        </w:tc>
        <w:tc>
          <w:tcPr>
            <w:tcW w:w="5400" w:type="dxa"/>
            <w:vAlign w:val="bottom"/>
          </w:tcPr>
          <w:p>
            <w:pPr>
              <w:ind w:left="358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H.C. Starck Ltd.</w:t>
            </w:r>
          </w:p>
        </w:tc>
        <w:tc>
          <w:tcPr>
            <w:tcW w:w="5400" w:type="dxa"/>
            <w:vAlign w:val="bottom"/>
          </w:tcPr>
          <w:p>
            <w:pPr>
              <w:ind w:left="35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H.C. Starck Smelting GmbH &amp; Co. KG</w:t>
            </w:r>
          </w:p>
        </w:tc>
        <w:tc>
          <w:tcPr>
            <w:tcW w:w="5400" w:type="dxa"/>
            <w:vAlign w:val="bottom"/>
          </w:tcPr>
          <w:p>
            <w:pPr>
              <w:ind w:left="3580"/>
              <w:spacing w:after="0"/>
              <w:rPr>
                <w:sz w:val="20"/>
                <w:szCs w:val="20"/>
                <w:color w:val="auto"/>
              </w:rPr>
            </w:pPr>
            <w:r>
              <w:rPr>
                <w:rFonts w:ascii="Arial" w:cs="Arial" w:eastAsia="Arial" w:hAnsi="Arial"/>
                <w:sz w:val="18"/>
                <w:szCs w:val="18"/>
                <w:color w:val="auto"/>
              </w:rPr>
              <w:t>Germany</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H.C. Starck Tantalum and Niobium GmbH</w:t>
            </w:r>
          </w:p>
        </w:tc>
        <w:tc>
          <w:tcPr>
            <w:tcW w:w="5400" w:type="dxa"/>
            <w:vAlign w:val="bottom"/>
          </w:tcPr>
          <w:p>
            <w:pPr>
              <w:ind w:left="3580"/>
              <w:spacing w:after="0"/>
              <w:rPr>
                <w:sz w:val="20"/>
                <w:szCs w:val="20"/>
                <w:color w:val="auto"/>
              </w:rPr>
            </w:pPr>
            <w:r>
              <w:rPr>
                <w:rFonts w:ascii="Arial" w:cs="Arial" w:eastAsia="Arial" w:hAnsi="Arial"/>
                <w:sz w:val="18"/>
                <w:szCs w:val="18"/>
                <w:color w:val="auto"/>
              </w:rPr>
              <w:t>Germany</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Hengyang King Xing Lifeng New Materials Co., Ltd.</w:t>
            </w:r>
          </w:p>
        </w:tc>
        <w:tc>
          <w:tcPr>
            <w:tcW w:w="5400" w:type="dxa"/>
            <w:vAlign w:val="bottom"/>
          </w:tcPr>
          <w:p>
            <w:pPr>
              <w:ind w:left="35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Jiangxi Dinghai Tantalum &amp; Niobium Co., Ltd.</w:t>
            </w:r>
          </w:p>
        </w:tc>
        <w:tc>
          <w:tcPr>
            <w:tcW w:w="5400" w:type="dxa"/>
            <w:vAlign w:val="bottom"/>
          </w:tcPr>
          <w:p>
            <w:pPr>
              <w:ind w:left="35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Jiangxi Tuohong New Raw Material</w:t>
            </w:r>
          </w:p>
        </w:tc>
        <w:tc>
          <w:tcPr>
            <w:tcW w:w="5400" w:type="dxa"/>
            <w:vAlign w:val="bottom"/>
          </w:tcPr>
          <w:p>
            <w:pPr>
              <w:ind w:left="35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JiuJiang JinXin Nonferrous Metals Co., Ltd.</w:t>
            </w:r>
          </w:p>
        </w:tc>
        <w:tc>
          <w:tcPr>
            <w:tcW w:w="5400" w:type="dxa"/>
            <w:vAlign w:val="bottom"/>
          </w:tcPr>
          <w:p>
            <w:pPr>
              <w:ind w:left="35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w w:val="96"/>
              </w:rPr>
              <w:t>Jiujiang Nonferrous Metals Smelting Company Limited</w:t>
            </w:r>
          </w:p>
        </w:tc>
        <w:tc>
          <w:tcPr>
            <w:tcW w:w="5400" w:type="dxa"/>
            <w:vAlign w:val="bottom"/>
          </w:tcPr>
          <w:p>
            <w:pPr>
              <w:ind w:left="35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Jiujiang Zhongao Tantalum &amp; Niobium Co., Ltd.</w:t>
            </w:r>
          </w:p>
        </w:tc>
        <w:tc>
          <w:tcPr>
            <w:tcW w:w="5400" w:type="dxa"/>
            <w:vAlign w:val="bottom"/>
          </w:tcPr>
          <w:p>
            <w:pPr>
              <w:ind w:left="35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KEMET Blue Metals</w:t>
            </w:r>
          </w:p>
        </w:tc>
        <w:tc>
          <w:tcPr>
            <w:tcW w:w="5400" w:type="dxa"/>
            <w:vAlign w:val="bottom"/>
          </w:tcPr>
          <w:p>
            <w:pPr>
              <w:ind w:left="3580"/>
              <w:spacing w:after="0"/>
              <w:rPr>
                <w:sz w:val="20"/>
                <w:szCs w:val="20"/>
                <w:color w:val="auto"/>
              </w:rPr>
            </w:pPr>
            <w:r>
              <w:rPr>
                <w:rFonts w:ascii="Arial" w:cs="Arial" w:eastAsia="Arial" w:hAnsi="Arial"/>
                <w:sz w:val="18"/>
                <w:szCs w:val="18"/>
                <w:color w:val="auto"/>
              </w:rPr>
              <w:t>Mexico</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KEMET Blue Powder</w:t>
            </w:r>
          </w:p>
        </w:tc>
        <w:tc>
          <w:tcPr>
            <w:tcW w:w="5400" w:type="dxa"/>
            <w:vAlign w:val="bottom"/>
          </w:tcPr>
          <w:p>
            <w:pPr>
              <w:ind w:left="358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LSM Brasil S.A.</w:t>
            </w:r>
          </w:p>
        </w:tc>
        <w:tc>
          <w:tcPr>
            <w:tcW w:w="5400" w:type="dxa"/>
            <w:vAlign w:val="bottom"/>
          </w:tcPr>
          <w:p>
            <w:pPr>
              <w:ind w:left="3580"/>
              <w:spacing w:after="0"/>
              <w:rPr>
                <w:sz w:val="20"/>
                <w:szCs w:val="20"/>
                <w:color w:val="auto"/>
              </w:rPr>
            </w:pPr>
            <w:r>
              <w:rPr>
                <w:rFonts w:ascii="Arial" w:cs="Arial" w:eastAsia="Arial" w:hAnsi="Arial"/>
                <w:sz w:val="18"/>
                <w:szCs w:val="18"/>
                <w:color w:val="auto"/>
              </w:rPr>
              <w:t>Brazil</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Metallurgical Products India Pvt., Ltd.</w:t>
            </w:r>
          </w:p>
        </w:tc>
        <w:tc>
          <w:tcPr>
            <w:tcW w:w="5400" w:type="dxa"/>
            <w:vAlign w:val="bottom"/>
          </w:tcPr>
          <w:p>
            <w:pPr>
              <w:ind w:left="3580"/>
              <w:spacing w:after="0"/>
              <w:rPr>
                <w:sz w:val="20"/>
                <w:szCs w:val="20"/>
                <w:color w:val="auto"/>
              </w:rPr>
            </w:pPr>
            <w:r>
              <w:rPr>
                <w:rFonts w:ascii="Arial" w:cs="Arial" w:eastAsia="Arial" w:hAnsi="Arial"/>
                <w:sz w:val="18"/>
                <w:szCs w:val="18"/>
                <w:color w:val="auto"/>
              </w:rPr>
              <w:t>India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Mineracao Taboca S.A.</w:t>
            </w:r>
          </w:p>
        </w:tc>
        <w:tc>
          <w:tcPr>
            <w:tcW w:w="5400" w:type="dxa"/>
            <w:vAlign w:val="bottom"/>
          </w:tcPr>
          <w:p>
            <w:pPr>
              <w:ind w:left="3580"/>
              <w:spacing w:after="0"/>
              <w:rPr>
                <w:sz w:val="20"/>
                <w:szCs w:val="20"/>
                <w:color w:val="auto"/>
              </w:rPr>
            </w:pPr>
            <w:r>
              <w:rPr>
                <w:rFonts w:ascii="Arial" w:cs="Arial" w:eastAsia="Arial" w:hAnsi="Arial"/>
                <w:sz w:val="18"/>
                <w:szCs w:val="18"/>
                <w:color w:val="auto"/>
              </w:rPr>
              <w:t>Brazil</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Mitsui Mining and Smelting Co., Ltd.</w:t>
            </w:r>
          </w:p>
        </w:tc>
        <w:tc>
          <w:tcPr>
            <w:tcW w:w="5400" w:type="dxa"/>
            <w:vAlign w:val="bottom"/>
          </w:tcPr>
          <w:p>
            <w:pPr>
              <w:ind w:left="35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Ningxia Orient Tantalum Industry Co., Ltd.</w:t>
            </w:r>
          </w:p>
        </w:tc>
        <w:tc>
          <w:tcPr>
            <w:tcW w:w="5400" w:type="dxa"/>
            <w:vAlign w:val="bottom"/>
          </w:tcPr>
          <w:p>
            <w:pPr>
              <w:ind w:left="35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NPM Silmet AS</w:t>
            </w:r>
          </w:p>
        </w:tc>
        <w:tc>
          <w:tcPr>
            <w:tcW w:w="5400" w:type="dxa"/>
            <w:vAlign w:val="bottom"/>
          </w:tcPr>
          <w:p>
            <w:pPr>
              <w:ind w:left="3580"/>
              <w:spacing w:after="0"/>
              <w:rPr>
                <w:sz w:val="20"/>
                <w:szCs w:val="20"/>
                <w:color w:val="auto"/>
              </w:rPr>
            </w:pPr>
            <w:r>
              <w:rPr>
                <w:rFonts w:ascii="Arial" w:cs="Arial" w:eastAsia="Arial" w:hAnsi="Arial"/>
                <w:sz w:val="18"/>
                <w:szCs w:val="18"/>
                <w:color w:val="auto"/>
              </w:rPr>
              <w:t>Estonia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Power Resources Ltd.</w:t>
            </w:r>
          </w:p>
        </w:tc>
        <w:tc>
          <w:tcPr>
            <w:tcW w:w="5400" w:type="dxa"/>
            <w:vAlign w:val="bottom"/>
          </w:tcPr>
          <w:p>
            <w:pPr>
              <w:ind w:left="3580"/>
              <w:spacing w:after="0"/>
              <w:rPr>
                <w:sz w:val="20"/>
                <w:szCs w:val="20"/>
                <w:color w:val="auto"/>
              </w:rPr>
            </w:pPr>
            <w:r>
              <w:rPr>
                <w:rFonts w:ascii="Arial" w:cs="Arial" w:eastAsia="Arial" w:hAnsi="Arial"/>
                <w:sz w:val="18"/>
                <w:szCs w:val="18"/>
                <w:color w:val="auto"/>
                <w:w w:val="93"/>
              </w:rPr>
              <w:t>Macedonia, The Former</w:t>
            </w:r>
          </w:p>
        </w:tc>
      </w:tr>
      <w:tr>
        <w:trPr>
          <w:trHeight w:val="216"/>
        </w:trPr>
        <w:tc>
          <w:tcPr>
            <w:tcW w:w="8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400" w:type="dxa"/>
            <w:vAlign w:val="bottom"/>
          </w:tcPr>
          <w:p>
            <w:pPr>
              <w:ind w:left="3580"/>
              <w:spacing w:after="0"/>
              <w:rPr>
                <w:sz w:val="20"/>
                <w:szCs w:val="20"/>
                <w:color w:val="auto"/>
              </w:rPr>
            </w:pPr>
            <w:r>
              <w:rPr>
                <w:rFonts w:ascii="Arial" w:cs="Arial" w:eastAsia="Arial" w:hAnsi="Arial"/>
                <w:sz w:val="18"/>
                <w:szCs w:val="18"/>
                <w:color w:val="auto"/>
              </w:rPr>
              <w:t>Yugoslav Republic of</w:t>
            </w:r>
          </w:p>
        </w:tc>
      </w:tr>
      <w:tr>
        <w:trPr>
          <w:trHeight w:val="230"/>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4380" w:type="dxa"/>
            <w:vAlign w:val="bottom"/>
          </w:tcPr>
          <w:p>
            <w:pPr>
              <w:ind w:left="200"/>
              <w:spacing w:after="0"/>
              <w:rPr>
                <w:sz w:val="20"/>
                <w:szCs w:val="20"/>
                <w:color w:val="auto"/>
              </w:rPr>
            </w:pPr>
            <w:r>
              <w:rPr>
                <w:rFonts w:ascii="Arial" w:cs="Arial" w:eastAsia="Arial" w:hAnsi="Arial"/>
                <w:sz w:val="18"/>
                <w:szCs w:val="18"/>
                <w:color w:val="auto"/>
              </w:rPr>
              <w:t>QuantumClean</w:t>
            </w:r>
          </w:p>
        </w:tc>
        <w:tc>
          <w:tcPr>
            <w:tcW w:w="5400" w:type="dxa"/>
            <w:vAlign w:val="bottom"/>
          </w:tcPr>
          <w:p>
            <w:pPr>
              <w:ind w:left="3580"/>
              <w:spacing w:after="0"/>
              <w:rPr>
                <w:sz w:val="20"/>
                <w:szCs w:val="20"/>
                <w:color w:val="auto"/>
              </w:rPr>
            </w:pPr>
            <w:r>
              <w:rPr>
                <w:rFonts w:ascii="Arial" w:cs="Arial" w:eastAsia="Arial" w:hAnsi="Arial"/>
                <w:sz w:val="18"/>
                <w:szCs w:val="18"/>
                <w:color w:val="auto"/>
                <w:w w:val="90"/>
              </w:rPr>
              <w:t>United States of America</w:t>
            </w:r>
          </w:p>
        </w:tc>
      </w:tr>
      <w:tr>
        <w:trPr>
          <w:trHeight w:val="365"/>
        </w:trPr>
        <w:tc>
          <w:tcPr>
            <w:tcW w:w="8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0660"/>
          </w:cols>
          <w:pgMar w:left="540" w:top="274" w:right="69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7100" w:type="dxa"/>
            <w:vAlign w:val="bottom"/>
          </w:tcPr>
          <w:p>
            <w:pPr>
              <w:ind w:left="200"/>
              <w:spacing w:after="0"/>
              <w:rPr>
                <w:sz w:val="20"/>
                <w:szCs w:val="20"/>
                <w:color w:val="auto"/>
              </w:rPr>
            </w:pPr>
            <w:r>
              <w:rPr>
                <w:rFonts w:ascii="Arial" w:cs="Arial" w:eastAsia="Arial" w:hAnsi="Arial"/>
                <w:sz w:val="18"/>
                <w:szCs w:val="18"/>
                <w:color w:val="auto"/>
              </w:rPr>
              <w:t>RFH Tantalum Smeltery Co., Ltd./Yanling Jincheng Tantalum &amp; Niobium Co., Ltd.</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7100" w:type="dxa"/>
            <w:vAlign w:val="bottom"/>
          </w:tcPr>
          <w:p>
            <w:pPr>
              <w:ind w:left="200"/>
              <w:spacing w:after="0"/>
              <w:rPr>
                <w:sz w:val="20"/>
                <w:szCs w:val="20"/>
                <w:color w:val="auto"/>
              </w:rPr>
            </w:pPr>
            <w:r>
              <w:rPr>
                <w:rFonts w:ascii="Arial" w:cs="Arial" w:eastAsia="Arial" w:hAnsi="Arial"/>
                <w:sz w:val="18"/>
                <w:szCs w:val="18"/>
                <w:color w:val="auto"/>
              </w:rPr>
              <w:t>Solikamsk Magnesium Works OAO</w:t>
            </w:r>
          </w:p>
        </w:tc>
        <w:tc>
          <w:tcPr>
            <w:tcW w:w="3080" w:type="dxa"/>
            <w:vAlign w:val="bottom"/>
          </w:tcPr>
          <w:p>
            <w:pPr>
              <w:ind w:left="860"/>
              <w:spacing w:after="0"/>
              <w:rPr>
                <w:sz w:val="20"/>
                <w:szCs w:val="20"/>
                <w:color w:val="auto"/>
              </w:rPr>
            </w:pPr>
            <w:r>
              <w:rPr>
                <w:rFonts w:ascii="Arial" w:cs="Arial" w:eastAsia="Arial" w:hAnsi="Arial"/>
                <w:sz w:val="18"/>
                <w:szCs w:val="18"/>
                <w:color w:val="auto"/>
              </w:rPr>
              <w:t>Russian Federation</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7100" w:type="dxa"/>
            <w:vAlign w:val="bottom"/>
          </w:tcPr>
          <w:p>
            <w:pPr>
              <w:ind w:left="200"/>
              <w:spacing w:after="0"/>
              <w:rPr>
                <w:sz w:val="20"/>
                <w:szCs w:val="20"/>
                <w:color w:val="auto"/>
              </w:rPr>
            </w:pPr>
            <w:r>
              <w:rPr>
                <w:rFonts w:ascii="Arial" w:cs="Arial" w:eastAsia="Arial" w:hAnsi="Arial"/>
                <w:sz w:val="18"/>
                <w:szCs w:val="18"/>
                <w:color w:val="auto"/>
              </w:rPr>
              <w:t>Taki Chemical Co., Ltd.</w:t>
            </w:r>
          </w:p>
        </w:tc>
        <w:tc>
          <w:tcPr>
            <w:tcW w:w="3080" w:type="dxa"/>
            <w:vAlign w:val="bottom"/>
          </w:tcPr>
          <w:p>
            <w:pPr>
              <w:ind w:left="86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7100" w:type="dxa"/>
            <w:vAlign w:val="bottom"/>
          </w:tcPr>
          <w:p>
            <w:pPr>
              <w:ind w:left="200"/>
              <w:spacing w:after="0"/>
              <w:rPr>
                <w:sz w:val="20"/>
                <w:szCs w:val="20"/>
                <w:color w:val="auto"/>
              </w:rPr>
            </w:pPr>
            <w:r>
              <w:rPr>
                <w:rFonts w:ascii="Arial" w:cs="Arial" w:eastAsia="Arial" w:hAnsi="Arial"/>
                <w:sz w:val="18"/>
                <w:szCs w:val="18"/>
                <w:color w:val="auto"/>
              </w:rPr>
              <w:t>Telex Metals</w:t>
            </w:r>
          </w:p>
        </w:tc>
        <w:tc>
          <w:tcPr>
            <w:tcW w:w="3080" w:type="dxa"/>
            <w:vAlign w:val="bottom"/>
          </w:tcPr>
          <w:p>
            <w:pPr>
              <w:ind w:left="86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7100" w:type="dxa"/>
            <w:vAlign w:val="bottom"/>
          </w:tcPr>
          <w:p>
            <w:pPr>
              <w:ind w:left="200"/>
              <w:spacing w:after="0"/>
              <w:rPr>
                <w:sz w:val="20"/>
                <w:szCs w:val="20"/>
                <w:color w:val="auto"/>
              </w:rPr>
            </w:pPr>
            <w:r>
              <w:rPr>
                <w:rFonts w:ascii="Arial" w:cs="Arial" w:eastAsia="Arial" w:hAnsi="Arial"/>
                <w:sz w:val="18"/>
                <w:szCs w:val="18"/>
                <w:color w:val="auto"/>
              </w:rPr>
              <w:t>Ulba Metallurgical Plant JSC</w:t>
            </w:r>
          </w:p>
        </w:tc>
        <w:tc>
          <w:tcPr>
            <w:tcW w:w="3080" w:type="dxa"/>
            <w:vAlign w:val="bottom"/>
          </w:tcPr>
          <w:p>
            <w:pPr>
              <w:ind w:left="860"/>
              <w:spacing w:after="0"/>
              <w:rPr>
                <w:sz w:val="20"/>
                <w:szCs w:val="20"/>
                <w:color w:val="auto"/>
              </w:rPr>
            </w:pPr>
            <w:r>
              <w:rPr>
                <w:rFonts w:ascii="Arial" w:cs="Arial" w:eastAsia="Arial" w:hAnsi="Arial"/>
                <w:sz w:val="18"/>
                <w:szCs w:val="18"/>
                <w:color w:val="auto"/>
              </w:rPr>
              <w:t>Kazakhstan</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7100" w:type="dxa"/>
            <w:vAlign w:val="bottom"/>
          </w:tcPr>
          <w:p>
            <w:pPr>
              <w:ind w:left="200"/>
              <w:spacing w:after="0"/>
              <w:rPr>
                <w:sz w:val="20"/>
                <w:szCs w:val="20"/>
                <w:color w:val="auto"/>
              </w:rPr>
            </w:pPr>
            <w:r>
              <w:rPr>
                <w:rFonts w:ascii="Arial" w:cs="Arial" w:eastAsia="Arial" w:hAnsi="Arial"/>
                <w:sz w:val="18"/>
                <w:szCs w:val="18"/>
                <w:color w:val="auto"/>
              </w:rPr>
              <w:t>XinXing HaoRong Electronic Material Co., Ltd.</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Tantalum</w:t>
            </w:r>
          </w:p>
        </w:tc>
        <w:tc>
          <w:tcPr>
            <w:tcW w:w="7100" w:type="dxa"/>
            <w:vAlign w:val="bottom"/>
          </w:tcPr>
          <w:p>
            <w:pPr>
              <w:ind w:left="200"/>
              <w:spacing w:after="0"/>
              <w:rPr>
                <w:sz w:val="20"/>
                <w:szCs w:val="20"/>
                <w:color w:val="auto"/>
              </w:rPr>
            </w:pPr>
            <w:r>
              <w:rPr>
                <w:rFonts w:ascii="Arial" w:cs="Arial" w:eastAsia="Arial" w:hAnsi="Arial"/>
                <w:sz w:val="18"/>
                <w:szCs w:val="18"/>
                <w:color w:val="auto"/>
              </w:rPr>
              <w:t>Yichun Jin Yang Rare Metal Co., Ltd.</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Alpha</w:t>
            </w:r>
          </w:p>
        </w:tc>
        <w:tc>
          <w:tcPr>
            <w:tcW w:w="3080" w:type="dxa"/>
            <w:vAlign w:val="bottom"/>
          </w:tcPr>
          <w:p>
            <w:pPr>
              <w:ind w:left="86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PT Bukit Timah</w:t>
            </w:r>
          </w:p>
        </w:tc>
        <w:tc>
          <w:tcPr>
            <w:tcW w:w="3080" w:type="dxa"/>
            <w:vAlign w:val="bottom"/>
          </w:tcPr>
          <w:p>
            <w:pPr>
              <w:ind w:left="86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PT Refined Bangka Tin</w:t>
            </w:r>
          </w:p>
        </w:tc>
        <w:tc>
          <w:tcPr>
            <w:tcW w:w="3080" w:type="dxa"/>
            <w:vAlign w:val="bottom"/>
          </w:tcPr>
          <w:p>
            <w:pPr>
              <w:ind w:left="86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Chenzhou Yunxiang Mining and Metallurgy Co., Ltd.</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China Tin Group Co., Ltd.</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Yunnan Tin Company Limited</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CV Ayi Jaya</w:t>
            </w:r>
          </w:p>
        </w:tc>
        <w:tc>
          <w:tcPr>
            <w:tcW w:w="3080" w:type="dxa"/>
            <w:vAlign w:val="bottom"/>
          </w:tcPr>
          <w:p>
            <w:pPr>
              <w:ind w:left="86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CV Dua Sekawan</w:t>
            </w:r>
          </w:p>
        </w:tc>
        <w:tc>
          <w:tcPr>
            <w:tcW w:w="3080" w:type="dxa"/>
            <w:vAlign w:val="bottom"/>
          </w:tcPr>
          <w:p>
            <w:pPr>
              <w:ind w:left="86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CV Gita Pesona</w:t>
            </w:r>
          </w:p>
        </w:tc>
        <w:tc>
          <w:tcPr>
            <w:tcW w:w="3080" w:type="dxa"/>
            <w:vAlign w:val="bottom"/>
          </w:tcPr>
          <w:p>
            <w:pPr>
              <w:ind w:left="86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CV Serumpun Sebalai</w:t>
            </w:r>
          </w:p>
        </w:tc>
        <w:tc>
          <w:tcPr>
            <w:tcW w:w="3080" w:type="dxa"/>
            <w:vAlign w:val="bottom"/>
          </w:tcPr>
          <w:p>
            <w:pPr>
              <w:ind w:left="86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CV Tiga Sekawan</w:t>
            </w:r>
          </w:p>
        </w:tc>
        <w:tc>
          <w:tcPr>
            <w:tcW w:w="3080" w:type="dxa"/>
            <w:vAlign w:val="bottom"/>
          </w:tcPr>
          <w:p>
            <w:pPr>
              <w:ind w:left="86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CV United Smelting</w:t>
            </w:r>
          </w:p>
        </w:tc>
        <w:tc>
          <w:tcPr>
            <w:tcW w:w="3080" w:type="dxa"/>
            <w:vAlign w:val="bottom"/>
          </w:tcPr>
          <w:p>
            <w:pPr>
              <w:ind w:left="86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CV Venus Inti Perkasa</w:t>
            </w:r>
          </w:p>
        </w:tc>
        <w:tc>
          <w:tcPr>
            <w:tcW w:w="3080" w:type="dxa"/>
            <w:vAlign w:val="bottom"/>
          </w:tcPr>
          <w:p>
            <w:pPr>
              <w:ind w:left="86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Dowa</w:t>
            </w:r>
          </w:p>
        </w:tc>
        <w:tc>
          <w:tcPr>
            <w:tcW w:w="3080" w:type="dxa"/>
            <w:vAlign w:val="bottom"/>
          </w:tcPr>
          <w:p>
            <w:pPr>
              <w:ind w:left="86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EM Vinto</w:t>
            </w:r>
          </w:p>
        </w:tc>
        <w:tc>
          <w:tcPr>
            <w:tcW w:w="3080" w:type="dxa"/>
            <w:vAlign w:val="bottom"/>
          </w:tcPr>
          <w:p>
            <w:pPr>
              <w:ind w:left="860"/>
              <w:spacing w:after="0"/>
              <w:rPr>
                <w:sz w:val="20"/>
                <w:szCs w:val="20"/>
                <w:color w:val="auto"/>
              </w:rPr>
            </w:pPr>
            <w:r>
              <w:rPr>
                <w:rFonts w:ascii="Arial" w:cs="Arial" w:eastAsia="Arial" w:hAnsi="Arial"/>
                <w:sz w:val="18"/>
                <w:szCs w:val="18"/>
                <w:color w:val="auto"/>
                <w:w w:val="93"/>
              </w:rPr>
              <w:t>Bolivia (Plurinational State of)</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Fenix Metals</w:t>
            </w:r>
          </w:p>
        </w:tc>
        <w:tc>
          <w:tcPr>
            <w:tcW w:w="3080" w:type="dxa"/>
            <w:vAlign w:val="bottom"/>
          </w:tcPr>
          <w:p>
            <w:pPr>
              <w:ind w:left="860"/>
              <w:spacing w:after="0"/>
              <w:rPr>
                <w:sz w:val="20"/>
                <w:szCs w:val="20"/>
                <w:color w:val="auto"/>
              </w:rPr>
            </w:pPr>
            <w:r>
              <w:rPr>
                <w:rFonts w:ascii="Arial" w:cs="Arial" w:eastAsia="Arial" w:hAnsi="Arial"/>
                <w:sz w:val="18"/>
                <w:szCs w:val="18"/>
                <w:color w:val="auto"/>
              </w:rPr>
              <w:t>Poland</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Gejiu Fengming Metallurgy Chemical Plant</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Gejiu Jinye Mineral Company</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Gejiu Kai Meng Industry and Trade LLC</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Gejiu Non-Ferrous Metal Processing Co., Ltd.</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Gejiu Yunxin Nonferrous Electrolysis Co., Ltd.</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Guangdong Hanhe Non-Ferrous Metal Co., Ltd.</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Guanyang Guida Nonferrous Metal Smelting Plant</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HuiChang Hill Tin Industry Co., Ltd.</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Huichang Jinshunda Tin Co., Ltd.</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PT Timah (Persero) Tbk Mentok</w:t>
            </w:r>
          </w:p>
        </w:tc>
        <w:tc>
          <w:tcPr>
            <w:tcW w:w="3080" w:type="dxa"/>
            <w:vAlign w:val="bottom"/>
          </w:tcPr>
          <w:p>
            <w:pPr>
              <w:ind w:left="86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Jiangxi Ketai Advanced Material Co., Ltd.</w:t>
            </w:r>
          </w:p>
        </w:tc>
        <w:tc>
          <w:tcPr>
            <w:tcW w:w="3080" w:type="dxa"/>
            <w:vAlign w:val="bottom"/>
          </w:tcPr>
          <w:p>
            <w:pPr>
              <w:ind w:left="8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PT Timah (Persero) Tbk Kundur</w:t>
            </w:r>
          </w:p>
        </w:tc>
        <w:tc>
          <w:tcPr>
            <w:tcW w:w="3080" w:type="dxa"/>
            <w:vAlign w:val="bottom"/>
          </w:tcPr>
          <w:p>
            <w:pPr>
              <w:ind w:left="86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Magnu’s Minerais Metais e Ligas Ltda.</w:t>
            </w:r>
          </w:p>
        </w:tc>
        <w:tc>
          <w:tcPr>
            <w:tcW w:w="3080" w:type="dxa"/>
            <w:vAlign w:val="bottom"/>
          </w:tcPr>
          <w:p>
            <w:pPr>
              <w:ind w:left="860"/>
              <w:spacing w:after="0"/>
              <w:rPr>
                <w:sz w:val="20"/>
                <w:szCs w:val="20"/>
                <w:color w:val="auto"/>
              </w:rPr>
            </w:pPr>
            <w:r>
              <w:rPr>
                <w:rFonts w:ascii="Arial" w:cs="Arial" w:eastAsia="Arial" w:hAnsi="Arial"/>
                <w:sz w:val="18"/>
                <w:szCs w:val="18"/>
                <w:color w:val="auto"/>
              </w:rPr>
              <w:t>Brazil</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Malaysia Smelting Corporation (MSC)</w:t>
            </w:r>
          </w:p>
        </w:tc>
        <w:tc>
          <w:tcPr>
            <w:tcW w:w="3080" w:type="dxa"/>
            <w:vAlign w:val="bottom"/>
          </w:tcPr>
          <w:p>
            <w:pPr>
              <w:ind w:left="860"/>
              <w:spacing w:after="0"/>
              <w:rPr>
                <w:sz w:val="20"/>
                <w:szCs w:val="20"/>
                <w:color w:val="auto"/>
              </w:rPr>
            </w:pPr>
            <w:r>
              <w:rPr>
                <w:rFonts w:ascii="Arial" w:cs="Arial" w:eastAsia="Arial" w:hAnsi="Arial"/>
                <w:sz w:val="18"/>
                <w:szCs w:val="18"/>
                <w:color w:val="auto"/>
              </w:rPr>
              <w:t>Malaysia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Melt Metais e Ligas S.A.</w:t>
            </w:r>
          </w:p>
        </w:tc>
        <w:tc>
          <w:tcPr>
            <w:tcW w:w="3080" w:type="dxa"/>
            <w:vAlign w:val="bottom"/>
          </w:tcPr>
          <w:p>
            <w:pPr>
              <w:ind w:left="860"/>
              <w:spacing w:after="0"/>
              <w:rPr>
                <w:sz w:val="20"/>
                <w:szCs w:val="20"/>
                <w:color w:val="auto"/>
              </w:rPr>
            </w:pPr>
            <w:r>
              <w:rPr>
                <w:rFonts w:ascii="Arial" w:cs="Arial" w:eastAsia="Arial" w:hAnsi="Arial"/>
                <w:sz w:val="18"/>
                <w:szCs w:val="18"/>
                <w:color w:val="auto"/>
              </w:rPr>
              <w:t>Brazil</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Metallic Resources, Inc.</w:t>
            </w:r>
          </w:p>
        </w:tc>
        <w:tc>
          <w:tcPr>
            <w:tcW w:w="3080" w:type="dxa"/>
            <w:vAlign w:val="bottom"/>
          </w:tcPr>
          <w:p>
            <w:pPr>
              <w:ind w:left="86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Metallo Belgium N.V.</w:t>
            </w:r>
          </w:p>
        </w:tc>
        <w:tc>
          <w:tcPr>
            <w:tcW w:w="3080" w:type="dxa"/>
            <w:vAlign w:val="bottom"/>
          </w:tcPr>
          <w:p>
            <w:pPr>
              <w:ind w:left="860"/>
              <w:spacing w:after="0"/>
              <w:rPr>
                <w:sz w:val="20"/>
                <w:szCs w:val="20"/>
                <w:color w:val="auto"/>
              </w:rPr>
            </w:pPr>
            <w:r>
              <w:rPr>
                <w:rFonts w:ascii="Arial" w:cs="Arial" w:eastAsia="Arial" w:hAnsi="Arial"/>
                <w:sz w:val="18"/>
                <w:szCs w:val="18"/>
                <w:color w:val="auto"/>
              </w:rPr>
              <w:t>Belgium</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Metallo Spain S.L.U.</w:t>
            </w:r>
          </w:p>
        </w:tc>
        <w:tc>
          <w:tcPr>
            <w:tcW w:w="3080" w:type="dxa"/>
            <w:vAlign w:val="bottom"/>
          </w:tcPr>
          <w:p>
            <w:pPr>
              <w:ind w:left="860"/>
              <w:spacing w:after="0"/>
              <w:rPr>
                <w:sz w:val="20"/>
                <w:szCs w:val="20"/>
                <w:color w:val="auto"/>
              </w:rPr>
            </w:pPr>
            <w:r>
              <w:rPr>
                <w:rFonts w:ascii="Arial" w:cs="Arial" w:eastAsia="Arial" w:hAnsi="Arial"/>
                <w:sz w:val="18"/>
                <w:szCs w:val="18"/>
                <w:color w:val="auto"/>
              </w:rPr>
              <w:t>Spain</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Mineracao Taboca S.A.</w:t>
            </w:r>
          </w:p>
        </w:tc>
        <w:tc>
          <w:tcPr>
            <w:tcW w:w="3080" w:type="dxa"/>
            <w:vAlign w:val="bottom"/>
          </w:tcPr>
          <w:p>
            <w:pPr>
              <w:ind w:left="860"/>
              <w:spacing w:after="0"/>
              <w:rPr>
                <w:sz w:val="20"/>
                <w:szCs w:val="20"/>
                <w:color w:val="auto"/>
              </w:rPr>
            </w:pPr>
            <w:r>
              <w:rPr>
                <w:rFonts w:ascii="Arial" w:cs="Arial" w:eastAsia="Arial" w:hAnsi="Arial"/>
                <w:sz w:val="18"/>
                <w:szCs w:val="18"/>
                <w:color w:val="auto"/>
              </w:rPr>
              <w:t>Brazil</w:t>
            </w:r>
          </w:p>
        </w:tc>
      </w:tr>
      <w:tr>
        <w:trPr>
          <w:trHeight w:val="230"/>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7100" w:type="dxa"/>
            <w:vAlign w:val="bottom"/>
          </w:tcPr>
          <w:p>
            <w:pPr>
              <w:ind w:left="200"/>
              <w:spacing w:after="0"/>
              <w:rPr>
                <w:sz w:val="20"/>
                <w:szCs w:val="20"/>
                <w:color w:val="auto"/>
              </w:rPr>
            </w:pPr>
            <w:r>
              <w:rPr>
                <w:rFonts w:ascii="Arial" w:cs="Arial" w:eastAsia="Arial" w:hAnsi="Arial"/>
                <w:sz w:val="18"/>
                <w:szCs w:val="18"/>
                <w:color w:val="auto"/>
              </w:rPr>
              <w:t>Minsur</w:t>
            </w:r>
          </w:p>
        </w:tc>
        <w:tc>
          <w:tcPr>
            <w:tcW w:w="3080" w:type="dxa"/>
            <w:vAlign w:val="bottom"/>
          </w:tcPr>
          <w:p>
            <w:pPr>
              <w:ind w:left="860"/>
              <w:spacing w:after="0"/>
              <w:rPr>
                <w:sz w:val="20"/>
                <w:szCs w:val="20"/>
                <w:color w:val="auto"/>
              </w:rPr>
            </w:pPr>
            <w:r>
              <w:rPr>
                <w:rFonts w:ascii="Arial" w:cs="Arial" w:eastAsia="Arial" w:hAnsi="Arial"/>
                <w:sz w:val="18"/>
                <w:szCs w:val="18"/>
                <w:color w:val="auto"/>
              </w:rPr>
              <w:t>Peru</w:t>
            </w:r>
          </w:p>
        </w:tc>
      </w:tr>
      <w:tr>
        <w:trPr>
          <w:trHeight w:val="365"/>
        </w:trPr>
        <w:tc>
          <w:tcPr>
            <w:tcW w:w="880" w:type="dxa"/>
            <w:vAlign w:val="bottom"/>
          </w:tcPr>
          <w:p>
            <w:pPr>
              <w:spacing w:after="0"/>
              <w:rPr>
                <w:sz w:val="24"/>
                <w:szCs w:val="24"/>
                <w:color w:val="auto"/>
              </w:rPr>
            </w:pPr>
          </w:p>
        </w:tc>
        <w:tc>
          <w:tcPr>
            <w:tcW w:w="7100" w:type="dxa"/>
            <w:vAlign w:val="bottom"/>
          </w:tcPr>
          <w:p>
            <w:pPr>
              <w:ind w:left="4480"/>
              <w:spacing w:after="0"/>
              <w:rPr>
                <w:sz w:val="20"/>
                <w:szCs w:val="20"/>
                <w:color w:val="auto"/>
              </w:rPr>
            </w:pPr>
            <w:r>
              <w:rPr>
                <w:rFonts w:ascii="Arial" w:cs="Arial" w:eastAsia="Arial" w:hAnsi="Arial"/>
                <w:sz w:val="18"/>
                <w:szCs w:val="18"/>
                <w:color w:val="auto"/>
              </w:rPr>
              <w:t>8</w:t>
            </w:r>
          </w:p>
        </w:tc>
        <w:tc>
          <w:tcPr>
            <w:tcW w:w="3080" w:type="dxa"/>
            <w:vAlign w:val="bottom"/>
          </w:tcPr>
          <w:p>
            <w:pPr>
              <w:spacing w:after="0"/>
              <w:rPr>
                <w:sz w:val="24"/>
                <w:szCs w:val="24"/>
                <w:color w:val="auto"/>
              </w:rPr>
            </w:pPr>
          </w:p>
        </w:tc>
      </w:tr>
    </w:tbl>
    <w:p>
      <w:pPr>
        <w:sectPr>
          <w:pgSz w:w="11900" w:h="16838" w:orient="portrait"/>
          <w:cols w:equalWidth="0" w:num="1">
            <w:col w:w="11060"/>
          </w:cols>
          <w:pgMar w:left="540" w:top="274" w:right="29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Mitsubishi Materials Corporation</w:t>
            </w:r>
          </w:p>
        </w:tc>
        <w:tc>
          <w:tcPr>
            <w:tcW w:w="6060" w:type="dxa"/>
            <w:vAlign w:val="bottom"/>
          </w:tcPr>
          <w:p>
            <w:pPr>
              <w:ind w:left="384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Nankang Nanshan Tin Manufactory Co., Ltd.</w:t>
            </w:r>
          </w:p>
        </w:tc>
        <w:tc>
          <w:tcPr>
            <w:tcW w:w="6060" w:type="dxa"/>
            <w:vAlign w:val="bottom"/>
          </w:tcPr>
          <w:p>
            <w:pPr>
              <w:ind w:left="384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O.M. Manufacturing (Thailand) Co., Ltd.</w:t>
            </w:r>
          </w:p>
        </w:tc>
        <w:tc>
          <w:tcPr>
            <w:tcW w:w="6060" w:type="dxa"/>
            <w:vAlign w:val="bottom"/>
          </w:tcPr>
          <w:p>
            <w:pPr>
              <w:ind w:left="3840"/>
              <w:spacing w:after="0"/>
              <w:rPr>
                <w:sz w:val="20"/>
                <w:szCs w:val="20"/>
                <w:color w:val="auto"/>
              </w:rPr>
            </w:pPr>
            <w:r>
              <w:rPr>
                <w:rFonts w:ascii="Arial" w:cs="Arial" w:eastAsia="Arial" w:hAnsi="Arial"/>
                <w:sz w:val="18"/>
                <w:szCs w:val="18"/>
                <w:color w:val="auto"/>
              </w:rPr>
              <w:t>Thailand</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O.M. Manufacturing Philippines, Inc.</w:t>
            </w:r>
          </w:p>
        </w:tc>
        <w:tc>
          <w:tcPr>
            <w:tcW w:w="6060" w:type="dxa"/>
            <w:vAlign w:val="bottom"/>
          </w:tcPr>
          <w:p>
            <w:pPr>
              <w:ind w:left="3840"/>
              <w:spacing w:after="0"/>
              <w:rPr>
                <w:sz w:val="20"/>
                <w:szCs w:val="20"/>
                <w:color w:val="auto"/>
              </w:rPr>
            </w:pPr>
            <w:r>
              <w:rPr>
                <w:rFonts w:ascii="Arial" w:cs="Arial" w:eastAsia="Arial" w:hAnsi="Arial"/>
                <w:sz w:val="18"/>
                <w:szCs w:val="18"/>
                <w:color w:val="auto"/>
              </w:rPr>
              <w:t>Philippines</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Operaciones Metalurgical S.A.</w:t>
            </w:r>
          </w:p>
        </w:tc>
        <w:tc>
          <w:tcPr>
            <w:tcW w:w="6060" w:type="dxa"/>
            <w:vAlign w:val="bottom"/>
          </w:tcPr>
          <w:p>
            <w:pPr>
              <w:ind w:left="3840"/>
              <w:spacing w:after="0"/>
              <w:rPr>
                <w:sz w:val="20"/>
                <w:szCs w:val="20"/>
                <w:color w:val="auto"/>
              </w:rPr>
            </w:pPr>
            <w:r>
              <w:rPr>
                <w:rFonts w:ascii="Arial" w:cs="Arial" w:eastAsia="Arial" w:hAnsi="Arial"/>
                <w:sz w:val="18"/>
                <w:szCs w:val="18"/>
                <w:color w:val="auto"/>
                <w:w w:val="93"/>
              </w:rPr>
              <w:t>Bolivia (Plurinational State of)</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Aries Kencana Sejahtera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Artha Cipta Langgeng</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ATD Makmur Mandiri Jaya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Babel Inti Perkasa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Bangka Prima Tin</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Bangka Tin Industry</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Belitung Industri Sejahtera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DS Jaya Abadi</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Eunindo Usaha Mandiri</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Inti Stania Prima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Karimun Mining</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Kijang Jaya Mandiri</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Lautan Harmonis Sejahtera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Menara Cipta Mulia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Mitra Stania Prima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Panca Mega Persada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Prima Timah Utama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Sariwiguna Binasentosa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Stanindo Inti Perkasa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Sukses Inti Makmur</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Sumber Jaya Indah</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Tinindo Inter Nusa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PT Tommy Utama</w:t>
            </w:r>
          </w:p>
        </w:tc>
        <w:tc>
          <w:tcPr>
            <w:tcW w:w="6060" w:type="dxa"/>
            <w:vAlign w:val="bottom"/>
          </w:tcPr>
          <w:p>
            <w:pPr>
              <w:ind w:left="384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Resind Industria e Comercio Ltda.</w:t>
            </w:r>
          </w:p>
        </w:tc>
        <w:tc>
          <w:tcPr>
            <w:tcW w:w="6060" w:type="dxa"/>
            <w:vAlign w:val="bottom"/>
          </w:tcPr>
          <w:p>
            <w:pPr>
              <w:ind w:left="3840"/>
              <w:spacing w:after="0"/>
              <w:rPr>
                <w:sz w:val="20"/>
                <w:szCs w:val="20"/>
                <w:color w:val="auto"/>
              </w:rPr>
            </w:pPr>
            <w:r>
              <w:rPr>
                <w:rFonts w:ascii="Arial" w:cs="Arial" w:eastAsia="Arial" w:hAnsi="Arial"/>
                <w:sz w:val="18"/>
                <w:szCs w:val="18"/>
                <w:color w:val="auto"/>
              </w:rPr>
              <w:t>Brazil</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Rui Da Hung</w:t>
            </w:r>
          </w:p>
        </w:tc>
        <w:tc>
          <w:tcPr>
            <w:tcW w:w="6060" w:type="dxa"/>
            <w:vAlign w:val="bottom"/>
          </w:tcPr>
          <w:p>
            <w:pPr>
              <w:ind w:left="3840"/>
              <w:spacing w:after="0"/>
              <w:rPr>
                <w:sz w:val="20"/>
                <w:szCs w:val="20"/>
                <w:color w:val="auto"/>
              </w:rPr>
            </w:pPr>
            <w:r>
              <w:rPr>
                <w:rFonts w:ascii="Arial" w:cs="Arial" w:eastAsia="Arial" w:hAnsi="Arial"/>
                <w:sz w:val="18"/>
                <w:szCs w:val="18"/>
                <w:color w:val="auto"/>
              </w:rPr>
              <w:t>Taiwan, Province of China</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Soft Metais Ltda.</w:t>
            </w:r>
          </w:p>
        </w:tc>
        <w:tc>
          <w:tcPr>
            <w:tcW w:w="6060" w:type="dxa"/>
            <w:vAlign w:val="bottom"/>
          </w:tcPr>
          <w:p>
            <w:pPr>
              <w:ind w:left="3840"/>
              <w:spacing w:after="0"/>
              <w:rPr>
                <w:sz w:val="20"/>
                <w:szCs w:val="20"/>
                <w:color w:val="auto"/>
              </w:rPr>
            </w:pPr>
            <w:r>
              <w:rPr>
                <w:rFonts w:ascii="Arial" w:cs="Arial" w:eastAsia="Arial" w:hAnsi="Arial"/>
                <w:sz w:val="18"/>
                <w:szCs w:val="18"/>
                <w:color w:val="auto"/>
              </w:rPr>
              <w:t>Brazil</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Thaisarco</w:t>
            </w:r>
          </w:p>
        </w:tc>
        <w:tc>
          <w:tcPr>
            <w:tcW w:w="6060" w:type="dxa"/>
            <w:vAlign w:val="bottom"/>
          </w:tcPr>
          <w:p>
            <w:pPr>
              <w:ind w:left="3840"/>
              <w:spacing w:after="0"/>
              <w:rPr>
                <w:sz w:val="20"/>
                <w:szCs w:val="20"/>
                <w:color w:val="auto"/>
              </w:rPr>
            </w:pPr>
            <w:r>
              <w:rPr>
                <w:rFonts w:ascii="Arial" w:cs="Arial" w:eastAsia="Arial" w:hAnsi="Arial"/>
                <w:sz w:val="18"/>
                <w:szCs w:val="18"/>
                <w:color w:val="auto"/>
              </w:rPr>
              <w:t>Thailand</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White Solder Metalurgia e Mineracao Ltda.</w:t>
            </w:r>
          </w:p>
        </w:tc>
        <w:tc>
          <w:tcPr>
            <w:tcW w:w="6060" w:type="dxa"/>
            <w:vAlign w:val="bottom"/>
          </w:tcPr>
          <w:p>
            <w:pPr>
              <w:ind w:left="3840"/>
              <w:spacing w:after="0"/>
              <w:rPr>
                <w:sz w:val="20"/>
                <w:szCs w:val="20"/>
                <w:color w:val="auto"/>
              </w:rPr>
            </w:pPr>
            <w:r>
              <w:rPr>
                <w:rFonts w:ascii="Arial" w:cs="Arial" w:eastAsia="Arial" w:hAnsi="Arial"/>
                <w:sz w:val="18"/>
                <w:szCs w:val="18"/>
                <w:color w:val="auto"/>
              </w:rPr>
              <w:t>Brazil</w:t>
            </w:r>
          </w:p>
        </w:tc>
      </w:tr>
      <w:tr>
        <w:trPr>
          <w:trHeight w:val="216"/>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Tin</w:t>
            </w:r>
          </w:p>
        </w:tc>
        <w:tc>
          <w:tcPr>
            <w:tcW w:w="4120" w:type="dxa"/>
            <w:vAlign w:val="bottom"/>
          </w:tcPr>
          <w:p>
            <w:pPr>
              <w:ind w:left="200"/>
              <w:spacing w:after="0"/>
              <w:rPr>
                <w:sz w:val="20"/>
                <w:szCs w:val="20"/>
                <w:color w:val="auto"/>
              </w:rPr>
            </w:pPr>
            <w:r>
              <w:rPr>
                <w:rFonts w:ascii="Arial" w:cs="Arial" w:eastAsia="Arial" w:hAnsi="Arial"/>
                <w:sz w:val="18"/>
                <w:szCs w:val="18"/>
                <w:color w:val="auto"/>
              </w:rPr>
              <w:t>Yunnan Chengfeng Non-ferrous Metals Co., Ltd.</w:t>
            </w:r>
          </w:p>
        </w:tc>
        <w:tc>
          <w:tcPr>
            <w:tcW w:w="6060" w:type="dxa"/>
            <w:vAlign w:val="bottom"/>
          </w:tcPr>
          <w:p>
            <w:pPr>
              <w:ind w:left="384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Tungsten</w:t>
            </w:r>
          </w:p>
        </w:tc>
        <w:tc>
          <w:tcPr>
            <w:tcW w:w="4120" w:type="dxa"/>
            <w:vAlign w:val="bottom"/>
          </w:tcPr>
          <w:p>
            <w:pPr>
              <w:ind w:left="200"/>
              <w:spacing w:after="0"/>
              <w:rPr>
                <w:sz w:val="20"/>
                <w:szCs w:val="20"/>
                <w:color w:val="auto"/>
              </w:rPr>
            </w:pPr>
            <w:r>
              <w:rPr>
                <w:rFonts w:ascii="Arial" w:cs="Arial" w:eastAsia="Arial" w:hAnsi="Arial"/>
                <w:sz w:val="18"/>
                <w:szCs w:val="18"/>
                <w:color w:val="auto"/>
              </w:rPr>
              <w:t>A.L.M.T. TUNGSTEN Corp.</w:t>
            </w:r>
          </w:p>
        </w:tc>
        <w:tc>
          <w:tcPr>
            <w:tcW w:w="6060" w:type="dxa"/>
            <w:vAlign w:val="bottom"/>
          </w:tcPr>
          <w:p>
            <w:pPr>
              <w:ind w:left="384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Tungsten</w:t>
            </w:r>
          </w:p>
        </w:tc>
        <w:tc>
          <w:tcPr>
            <w:tcW w:w="4120" w:type="dxa"/>
            <w:vAlign w:val="bottom"/>
          </w:tcPr>
          <w:p>
            <w:pPr>
              <w:ind w:left="200"/>
              <w:spacing w:after="0"/>
              <w:rPr>
                <w:sz w:val="20"/>
                <w:szCs w:val="20"/>
                <w:color w:val="auto"/>
              </w:rPr>
            </w:pPr>
            <w:r>
              <w:rPr>
                <w:rFonts w:ascii="Arial" w:cs="Arial" w:eastAsia="Arial" w:hAnsi="Arial"/>
                <w:sz w:val="18"/>
                <w:szCs w:val="18"/>
                <w:color w:val="auto"/>
              </w:rPr>
              <w:t>ACL Metais Eireli</w:t>
            </w:r>
          </w:p>
        </w:tc>
        <w:tc>
          <w:tcPr>
            <w:tcW w:w="6060" w:type="dxa"/>
            <w:vAlign w:val="bottom"/>
          </w:tcPr>
          <w:p>
            <w:pPr>
              <w:ind w:left="3840"/>
              <w:spacing w:after="0"/>
              <w:rPr>
                <w:sz w:val="20"/>
                <w:szCs w:val="20"/>
                <w:color w:val="auto"/>
              </w:rPr>
            </w:pPr>
            <w:r>
              <w:rPr>
                <w:rFonts w:ascii="Arial" w:cs="Arial" w:eastAsia="Arial" w:hAnsi="Arial"/>
                <w:sz w:val="18"/>
                <w:szCs w:val="18"/>
                <w:color w:val="auto"/>
              </w:rPr>
              <w:t>Brazil</w:t>
            </w: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Tungsten</w:t>
            </w:r>
          </w:p>
        </w:tc>
        <w:tc>
          <w:tcPr>
            <w:tcW w:w="4120" w:type="dxa"/>
            <w:vAlign w:val="bottom"/>
          </w:tcPr>
          <w:p>
            <w:pPr>
              <w:ind w:left="200"/>
              <w:spacing w:after="0"/>
              <w:rPr>
                <w:sz w:val="20"/>
                <w:szCs w:val="20"/>
                <w:color w:val="auto"/>
              </w:rPr>
            </w:pPr>
            <w:r>
              <w:rPr>
                <w:rFonts w:ascii="Arial" w:cs="Arial" w:eastAsia="Arial" w:hAnsi="Arial"/>
                <w:sz w:val="18"/>
                <w:szCs w:val="18"/>
                <w:color w:val="auto"/>
              </w:rPr>
              <w:t>Asia Tungsten Products Vietnam Ltd.</w:t>
            </w:r>
          </w:p>
        </w:tc>
        <w:tc>
          <w:tcPr>
            <w:tcW w:w="6060" w:type="dxa"/>
            <w:vAlign w:val="bottom"/>
          </w:tcPr>
          <w:p>
            <w:pPr>
              <w:ind w:left="3840"/>
              <w:spacing w:after="0"/>
              <w:rPr>
                <w:sz w:val="20"/>
                <w:szCs w:val="20"/>
                <w:color w:val="auto"/>
              </w:rPr>
            </w:pPr>
            <w:r>
              <w:rPr>
                <w:rFonts w:ascii="Arial" w:cs="Arial" w:eastAsia="Arial" w:hAnsi="Arial"/>
                <w:sz w:val="18"/>
                <w:szCs w:val="18"/>
                <w:color w:val="auto"/>
              </w:rPr>
              <w:t>Viet Nam</w:t>
            </w: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Tungsten</w:t>
            </w:r>
          </w:p>
        </w:tc>
        <w:tc>
          <w:tcPr>
            <w:tcW w:w="4120" w:type="dxa"/>
            <w:vAlign w:val="bottom"/>
          </w:tcPr>
          <w:p>
            <w:pPr>
              <w:ind w:left="200"/>
              <w:spacing w:after="0"/>
              <w:rPr>
                <w:sz w:val="20"/>
                <w:szCs w:val="20"/>
                <w:color w:val="auto"/>
              </w:rPr>
            </w:pPr>
            <w:r>
              <w:rPr>
                <w:rFonts w:ascii="Arial" w:cs="Arial" w:eastAsia="Arial" w:hAnsi="Arial"/>
                <w:sz w:val="18"/>
                <w:szCs w:val="18"/>
                <w:color w:val="auto"/>
              </w:rPr>
              <w:t>Chenzhou Diamond Tungsten Products Co., Ltd.</w:t>
            </w:r>
          </w:p>
        </w:tc>
        <w:tc>
          <w:tcPr>
            <w:tcW w:w="6060" w:type="dxa"/>
            <w:vAlign w:val="bottom"/>
          </w:tcPr>
          <w:p>
            <w:pPr>
              <w:ind w:left="384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Tungsten</w:t>
            </w:r>
          </w:p>
        </w:tc>
        <w:tc>
          <w:tcPr>
            <w:tcW w:w="4120" w:type="dxa"/>
            <w:vAlign w:val="bottom"/>
          </w:tcPr>
          <w:p>
            <w:pPr>
              <w:ind w:left="200"/>
              <w:spacing w:after="0"/>
              <w:rPr>
                <w:sz w:val="20"/>
                <w:szCs w:val="20"/>
                <w:color w:val="auto"/>
              </w:rPr>
            </w:pPr>
            <w:r>
              <w:rPr>
                <w:rFonts w:ascii="Arial" w:cs="Arial" w:eastAsia="Arial" w:hAnsi="Arial"/>
                <w:sz w:val="18"/>
                <w:szCs w:val="18"/>
                <w:color w:val="auto"/>
              </w:rPr>
              <w:t>Chongyi Zhangyuan Tungsten Co., Ltd.</w:t>
            </w:r>
          </w:p>
        </w:tc>
        <w:tc>
          <w:tcPr>
            <w:tcW w:w="6060" w:type="dxa"/>
            <w:vAlign w:val="bottom"/>
          </w:tcPr>
          <w:p>
            <w:pPr>
              <w:ind w:left="384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Tungsten</w:t>
            </w:r>
          </w:p>
        </w:tc>
        <w:tc>
          <w:tcPr>
            <w:tcW w:w="4120" w:type="dxa"/>
            <w:vAlign w:val="bottom"/>
          </w:tcPr>
          <w:p>
            <w:pPr>
              <w:ind w:left="200"/>
              <w:spacing w:after="0"/>
              <w:rPr>
                <w:sz w:val="20"/>
                <w:szCs w:val="20"/>
                <w:color w:val="auto"/>
              </w:rPr>
            </w:pPr>
            <w:r>
              <w:rPr>
                <w:rFonts w:ascii="Arial" w:cs="Arial" w:eastAsia="Arial" w:hAnsi="Arial"/>
                <w:sz w:val="18"/>
                <w:szCs w:val="18"/>
                <w:color w:val="auto"/>
              </w:rPr>
              <w:t>Fujian Jinxin Tungsten Co., Ltd.</w:t>
            </w:r>
          </w:p>
        </w:tc>
        <w:tc>
          <w:tcPr>
            <w:tcW w:w="6060" w:type="dxa"/>
            <w:vAlign w:val="bottom"/>
          </w:tcPr>
          <w:p>
            <w:pPr>
              <w:ind w:left="384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Tungsten</w:t>
            </w:r>
          </w:p>
        </w:tc>
        <w:tc>
          <w:tcPr>
            <w:tcW w:w="4120" w:type="dxa"/>
            <w:vAlign w:val="bottom"/>
          </w:tcPr>
          <w:p>
            <w:pPr>
              <w:ind w:left="200"/>
              <w:spacing w:after="0"/>
              <w:rPr>
                <w:sz w:val="20"/>
                <w:szCs w:val="20"/>
                <w:color w:val="auto"/>
              </w:rPr>
            </w:pPr>
            <w:r>
              <w:rPr>
                <w:rFonts w:ascii="Arial" w:cs="Arial" w:eastAsia="Arial" w:hAnsi="Arial"/>
                <w:sz w:val="18"/>
                <w:szCs w:val="18"/>
                <w:color w:val="auto"/>
              </w:rPr>
              <w:t>Ganzhou Huaxing Tungsten Products Co., Ltd.</w:t>
            </w:r>
          </w:p>
        </w:tc>
        <w:tc>
          <w:tcPr>
            <w:tcW w:w="6060" w:type="dxa"/>
            <w:vAlign w:val="bottom"/>
          </w:tcPr>
          <w:p>
            <w:pPr>
              <w:ind w:left="384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Tungsten</w:t>
            </w:r>
          </w:p>
        </w:tc>
        <w:tc>
          <w:tcPr>
            <w:tcW w:w="4120" w:type="dxa"/>
            <w:vAlign w:val="bottom"/>
          </w:tcPr>
          <w:p>
            <w:pPr>
              <w:ind w:left="200"/>
              <w:spacing w:after="0"/>
              <w:rPr>
                <w:sz w:val="20"/>
                <w:szCs w:val="20"/>
                <w:color w:val="auto"/>
              </w:rPr>
            </w:pPr>
            <w:r>
              <w:rPr>
                <w:rFonts w:ascii="Arial" w:cs="Arial" w:eastAsia="Arial" w:hAnsi="Arial"/>
                <w:sz w:val="18"/>
                <w:szCs w:val="18"/>
                <w:color w:val="auto"/>
              </w:rPr>
              <w:t>Ganzhou Jiangwu Ferrotungsten Co., Ltd.</w:t>
            </w:r>
          </w:p>
        </w:tc>
        <w:tc>
          <w:tcPr>
            <w:tcW w:w="6060" w:type="dxa"/>
            <w:vAlign w:val="bottom"/>
          </w:tcPr>
          <w:p>
            <w:pPr>
              <w:ind w:left="384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Tungsten</w:t>
            </w:r>
          </w:p>
        </w:tc>
        <w:tc>
          <w:tcPr>
            <w:tcW w:w="4120" w:type="dxa"/>
            <w:vAlign w:val="bottom"/>
          </w:tcPr>
          <w:p>
            <w:pPr>
              <w:ind w:left="200"/>
              <w:spacing w:after="0"/>
              <w:rPr>
                <w:sz w:val="20"/>
                <w:szCs w:val="20"/>
                <w:color w:val="auto"/>
              </w:rPr>
            </w:pPr>
            <w:r>
              <w:rPr>
                <w:rFonts w:ascii="Arial" w:cs="Arial" w:eastAsia="Arial" w:hAnsi="Arial"/>
                <w:sz w:val="18"/>
                <w:szCs w:val="18"/>
                <w:color w:val="auto"/>
              </w:rPr>
              <w:t>Ganzhou Seadragon W &amp; Mo Co., Ltd.</w:t>
            </w:r>
          </w:p>
        </w:tc>
        <w:tc>
          <w:tcPr>
            <w:tcW w:w="6060" w:type="dxa"/>
            <w:vAlign w:val="bottom"/>
          </w:tcPr>
          <w:p>
            <w:pPr>
              <w:ind w:left="3840"/>
              <w:spacing w:after="0"/>
              <w:rPr>
                <w:sz w:val="20"/>
                <w:szCs w:val="20"/>
                <w:color w:val="auto"/>
              </w:rPr>
            </w:pPr>
            <w:r>
              <w:rPr>
                <w:rFonts w:ascii="Arial" w:cs="Arial" w:eastAsia="Arial" w:hAnsi="Arial"/>
                <w:sz w:val="18"/>
                <w:szCs w:val="18"/>
                <w:color w:val="auto"/>
              </w:rPr>
              <w:t>China</w:t>
            </w:r>
          </w:p>
        </w:tc>
      </w:tr>
      <w:tr>
        <w:trPr>
          <w:trHeight w:val="230"/>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Tungsten</w:t>
            </w:r>
          </w:p>
        </w:tc>
        <w:tc>
          <w:tcPr>
            <w:tcW w:w="4120" w:type="dxa"/>
            <w:vAlign w:val="bottom"/>
          </w:tcPr>
          <w:p>
            <w:pPr>
              <w:ind w:left="200"/>
              <w:spacing w:after="0"/>
              <w:rPr>
                <w:sz w:val="20"/>
                <w:szCs w:val="20"/>
                <w:color w:val="auto"/>
              </w:rPr>
            </w:pPr>
            <w:r>
              <w:rPr>
                <w:rFonts w:ascii="Arial" w:cs="Arial" w:eastAsia="Arial" w:hAnsi="Arial"/>
                <w:sz w:val="18"/>
                <w:szCs w:val="18"/>
                <w:color w:val="auto"/>
              </w:rPr>
              <w:t>Global Tungsten &amp; Powders Corp.</w:t>
            </w:r>
          </w:p>
        </w:tc>
        <w:tc>
          <w:tcPr>
            <w:tcW w:w="6060" w:type="dxa"/>
            <w:vAlign w:val="bottom"/>
          </w:tcPr>
          <w:p>
            <w:pPr>
              <w:ind w:left="3840"/>
              <w:spacing w:after="0"/>
              <w:rPr>
                <w:sz w:val="20"/>
                <w:szCs w:val="20"/>
                <w:color w:val="auto"/>
              </w:rPr>
            </w:pPr>
            <w:r>
              <w:rPr>
                <w:rFonts w:ascii="Arial" w:cs="Arial" w:eastAsia="Arial" w:hAnsi="Arial"/>
                <w:sz w:val="18"/>
                <w:szCs w:val="18"/>
                <w:color w:val="auto"/>
              </w:rPr>
              <w:t>United States of America</w:t>
            </w:r>
          </w:p>
        </w:tc>
      </w:tr>
      <w:tr>
        <w:trPr>
          <w:trHeight w:val="365"/>
        </w:trPr>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060"/>
          </w:cols>
          <w:pgMar w:left="540" w:top="274" w:right="29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Guangdong Xianglu Tungsten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H.C. Starck Smelting GmbH &amp; Co. KG</w:t>
            </w:r>
          </w:p>
        </w:tc>
        <w:tc>
          <w:tcPr>
            <w:tcW w:w="3380" w:type="dxa"/>
            <w:vAlign w:val="bottom"/>
          </w:tcPr>
          <w:p>
            <w:pPr>
              <w:ind w:left="1560"/>
              <w:spacing w:after="0"/>
              <w:rPr>
                <w:sz w:val="20"/>
                <w:szCs w:val="20"/>
                <w:color w:val="auto"/>
              </w:rPr>
            </w:pPr>
            <w:r>
              <w:rPr>
                <w:rFonts w:ascii="Arial" w:cs="Arial" w:eastAsia="Arial" w:hAnsi="Arial"/>
                <w:sz w:val="18"/>
                <w:szCs w:val="18"/>
                <w:color w:val="auto"/>
              </w:rPr>
              <w:t>Germany</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H.C. Starck Tungsten GmbH</w:t>
            </w:r>
          </w:p>
        </w:tc>
        <w:tc>
          <w:tcPr>
            <w:tcW w:w="3380" w:type="dxa"/>
            <w:vAlign w:val="bottom"/>
          </w:tcPr>
          <w:p>
            <w:pPr>
              <w:ind w:left="1560"/>
              <w:spacing w:after="0"/>
              <w:rPr>
                <w:sz w:val="20"/>
                <w:szCs w:val="20"/>
                <w:color w:val="auto"/>
              </w:rPr>
            </w:pPr>
            <w:r>
              <w:rPr>
                <w:rFonts w:ascii="Arial" w:cs="Arial" w:eastAsia="Arial" w:hAnsi="Arial"/>
                <w:sz w:val="18"/>
                <w:szCs w:val="18"/>
                <w:color w:val="auto"/>
              </w:rPr>
              <w:t>Germany</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Hunan Chenzhou Mining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Hunan Chuangda Vanadium Tungsten Co., Ltd. Wuji</w:t>
            </w:r>
          </w:p>
        </w:tc>
        <w:tc>
          <w:tcPr>
            <w:tcW w:w="3380" w:type="dxa"/>
            <w:vAlign w:val="bottom"/>
          </w:tcPr>
          <w:p>
            <w:pPr>
              <w:ind w:left="15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Hunan Chunchang Nonferrous Metals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Hydrometallurg, JSC</w:t>
            </w:r>
          </w:p>
        </w:tc>
        <w:tc>
          <w:tcPr>
            <w:tcW w:w="3380" w:type="dxa"/>
            <w:vAlign w:val="bottom"/>
          </w:tcPr>
          <w:p>
            <w:pPr>
              <w:ind w:left="1560"/>
              <w:spacing w:after="0"/>
              <w:rPr>
                <w:sz w:val="20"/>
                <w:szCs w:val="20"/>
                <w:color w:val="auto"/>
              </w:rPr>
            </w:pPr>
            <w:r>
              <w:rPr>
                <w:rFonts w:ascii="Arial" w:cs="Arial" w:eastAsia="Arial" w:hAnsi="Arial"/>
                <w:sz w:val="18"/>
                <w:szCs w:val="18"/>
                <w:color w:val="auto"/>
              </w:rPr>
              <w:t>Russian Federation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Japan New Metals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Jiangwu H.C. Starck Tungsten Products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Jiangxi Gan Bei Tungsten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Jiangxi Tonggu Non-ferrous Metallurgical &amp; Chemical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Jiangxi Xinsheng Tungsten Industry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Jiangxi Yaosheng Tungsten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Kennametal Fallon</w:t>
            </w:r>
          </w:p>
        </w:tc>
        <w:tc>
          <w:tcPr>
            <w:tcW w:w="3380" w:type="dxa"/>
            <w:vAlign w:val="bottom"/>
          </w:tcPr>
          <w:p>
            <w:pPr>
              <w:ind w:left="156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Kennametal Huntsville</w:t>
            </w:r>
          </w:p>
        </w:tc>
        <w:tc>
          <w:tcPr>
            <w:tcW w:w="3380" w:type="dxa"/>
            <w:vAlign w:val="bottom"/>
          </w:tcPr>
          <w:p>
            <w:pPr>
              <w:ind w:left="156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Malipo Haiyu Tungsten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Niagara Refining LLC</w:t>
            </w:r>
          </w:p>
        </w:tc>
        <w:tc>
          <w:tcPr>
            <w:tcW w:w="3380" w:type="dxa"/>
            <w:vAlign w:val="bottom"/>
          </w:tcPr>
          <w:p>
            <w:pPr>
              <w:ind w:left="156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Nui Phao H.C. Starck Tungsten Chemicals Manufacturing LLC</w:t>
            </w:r>
          </w:p>
        </w:tc>
        <w:tc>
          <w:tcPr>
            <w:tcW w:w="3380" w:type="dxa"/>
            <w:vAlign w:val="bottom"/>
          </w:tcPr>
          <w:p>
            <w:pPr>
              <w:ind w:left="1560"/>
              <w:spacing w:after="0"/>
              <w:rPr>
                <w:sz w:val="20"/>
                <w:szCs w:val="20"/>
                <w:color w:val="auto"/>
              </w:rPr>
            </w:pPr>
            <w:r>
              <w:rPr>
                <w:rFonts w:ascii="Arial" w:cs="Arial" w:eastAsia="Arial" w:hAnsi="Arial"/>
                <w:sz w:val="18"/>
                <w:szCs w:val="18"/>
                <w:color w:val="auto"/>
              </w:rPr>
              <w:t>Viet Nam</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Tejing (Vietnam) Tungsten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Viet Nam</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Vietnam Youngsun Tungsten Industry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Viet Nam</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Wolfram Bergbau und Hutten AG</w:t>
            </w:r>
          </w:p>
        </w:tc>
        <w:tc>
          <w:tcPr>
            <w:tcW w:w="3380" w:type="dxa"/>
            <w:vAlign w:val="bottom"/>
          </w:tcPr>
          <w:p>
            <w:pPr>
              <w:ind w:left="1560"/>
              <w:spacing w:after="0"/>
              <w:rPr>
                <w:sz w:val="20"/>
                <w:szCs w:val="20"/>
                <w:color w:val="auto"/>
              </w:rPr>
            </w:pPr>
            <w:r>
              <w:rPr>
                <w:rFonts w:ascii="Arial" w:cs="Arial" w:eastAsia="Arial" w:hAnsi="Arial"/>
                <w:sz w:val="18"/>
                <w:szCs w:val="18"/>
                <w:color w:val="auto"/>
              </w:rPr>
              <w:t>Austria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Xiamen Tungsten (H.C.)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Xiamen Tungsten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China</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tcPr>
          <w:p>
            <w:pPr>
              <w:ind w:left="200"/>
              <w:spacing w:after="0"/>
              <w:rPr>
                <w:sz w:val="20"/>
                <w:szCs w:val="20"/>
                <w:color w:val="auto"/>
              </w:rPr>
            </w:pPr>
            <w:r>
              <w:rPr>
                <w:rFonts w:ascii="Arial" w:cs="Arial" w:eastAsia="Arial" w:hAnsi="Arial"/>
                <w:sz w:val="18"/>
                <w:szCs w:val="18"/>
                <w:color w:val="auto"/>
              </w:rPr>
              <w:t>Xinhai Rendan Shaoguan Tungsten Co., Ltd.</w:t>
            </w:r>
          </w:p>
        </w:tc>
        <w:tc>
          <w:tcPr>
            <w:tcW w:w="3380" w:type="dxa"/>
            <w:vAlign w:val="bottom"/>
          </w:tcPr>
          <w:p>
            <w:pPr>
              <w:ind w:left="1560"/>
              <w:spacing w:after="0"/>
              <w:rPr>
                <w:sz w:val="20"/>
                <w:szCs w:val="20"/>
                <w:color w:val="auto"/>
              </w:rPr>
            </w:pPr>
            <w:r>
              <w:rPr>
                <w:rFonts w:ascii="Arial" w:cs="Arial" w:eastAsia="Arial" w:hAnsi="Arial"/>
                <w:sz w:val="18"/>
                <w:szCs w:val="18"/>
                <w:color w:val="auto"/>
              </w:rPr>
              <w:t>China</w:t>
            </w:r>
          </w:p>
        </w:tc>
      </w:tr>
      <w:tr>
        <w:trPr>
          <w:trHeight w:val="365"/>
        </w:trPr>
        <w:tc>
          <w:tcPr>
            <w:tcW w:w="880" w:type="dxa"/>
            <w:vAlign w:val="bottom"/>
          </w:tcPr>
          <w:p>
            <w:pPr>
              <w:spacing w:after="0"/>
              <w:rPr>
                <w:sz w:val="24"/>
                <w:szCs w:val="24"/>
                <w:color w:val="auto"/>
              </w:rPr>
            </w:pPr>
          </w:p>
        </w:tc>
        <w:tc>
          <w:tcPr>
            <w:tcW w:w="6400" w:type="dxa"/>
            <w:vAlign w:val="bottom"/>
          </w:tcPr>
          <w:p>
            <w:pPr>
              <w:ind w:left="4440"/>
              <w:spacing w:after="0"/>
              <w:rPr>
                <w:sz w:val="20"/>
                <w:szCs w:val="20"/>
                <w:color w:val="auto"/>
              </w:rPr>
            </w:pPr>
            <w:r>
              <w:rPr>
                <w:rFonts w:ascii="Arial" w:cs="Arial" w:eastAsia="Arial" w:hAnsi="Arial"/>
                <w:sz w:val="18"/>
                <w:szCs w:val="18"/>
                <w:color w:val="auto"/>
              </w:rPr>
              <w:t>10</w:t>
            </w:r>
          </w:p>
        </w:tc>
        <w:tc>
          <w:tcPr>
            <w:tcW w:w="33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660"/>
      </w:cols>
      <w:pgMar w:left="5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2019-12-07T01:20:25Z</dcterms:created>
  <dcterms:modified xsi:type="dcterms:W3CDTF">2019-12-07T01:20:25Z</dcterms:modified>
</cp:coreProperties>
</file>