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2073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20732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Kim Young-Joon</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9"/>
        <w:spacing w:after="0"/>
        <w:rPr>
          <w:rFonts w:ascii="Times New Roman" w:cs="Times New Roman" w:eastAsia="Times New Roman" w:hAnsi="Times New Roman"/>
          <w:sz w:val="21"/>
          <w:szCs w:val="21"/>
          <w:u w:val="single" w:color="auto"/>
          <w:color w:val="0000EE"/>
        </w:rPr>
      </w:pPr>
      <w:hyperlink r:id="rId14">
        <w:r>
          <w:rPr>
            <w:rFonts w:ascii="Times New Roman" w:cs="Times New Roman" w:eastAsia="Times New Roman" w:hAnsi="Times New Roman"/>
            <w:sz w:val="21"/>
            <w:szCs w:val="21"/>
            <w:u w:val="single" w:color="auto"/>
            <w:color w:val="0000EE"/>
          </w:rPr>
          <w:t>MAGNACHIP SEMICONDUCTOR Corp</w:t>
        </w:r>
      </w:hyperlink>
    </w:p>
    <w:p>
      <w:pPr>
        <w:ind w:left="129" w:hanging="129"/>
        <w:spacing w:after="0"/>
        <w:tabs>
          <w:tab w:leader="none" w:pos="129"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0000FF"/>
        </w:rPr>
        <w:t xml:space="preserve">MX </w:t>
      </w:r>
      <w:r>
        <w:rPr>
          <w:rFonts w:ascii="Times New Roman" w:cs="Times New Roman" w:eastAsia="Times New Roman" w:hAnsi="Times New Roman"/>
          <w:sz w:val="21"/>
          <w:szCs w:val="21"/>
          <w:color w:val="000000"/>
        </w:rPr>
        <w:t>]</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 w:lineRule="exact"/>
        <w:rPr>
          <w:sz w:val="24"/>
          <w:szCs w:val="24"/>
          <w:color w:val="auto"/>
        </w:rPr>
      </w:pPr>
    </w:p>
    <w:p>
      <w:pPr>
        <w:sectPr>
          <w:pgSz w:w="11900" w:h="16838" w:orient="portrait"/>
          <w:cols w:equalWidth="0" w:num="3">
            <w:col w:w="3191" w:space="720"/>
            <w:col w:w="3649" w:space="1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MAGNACHIP SEMICONDUCTOR, LTD.</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See Remarks</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8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40" w:type="dxa"/>
            <w:vAlign w:val="bottom"/>
            <w:gridSpan w:val="4"/>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80" w:type="dxa"/>
            <w:vAlign w:val="bottom"/>
            <w:gridSpan w:val="5"/>
            <w:vMerge w:val="continue"/>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501, TEHERAN-RO, GANGNAM-GU</w:t>
            </w:r>
          </w:p>
        </w:tc>
        <w:tc>
          <w:tcPr>
            <w:tcW w:w="160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02/16/2021</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80" w:type="dxa"/>
            <w:vAlign w:val="bottom"/>
            <w:gridSpan w:val="6"/>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292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bottom w:val="single" w:sz="8" w:color="2C2C2C"/>
            </w:tcBorders>
            <w:gridSpan w:val="6"/>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20" w:type="dxa"/>
            <w:vAlign w:val="bottom"/>
            <w:tcBorders>
              <w:bottom w:val="single" w:sz="8" w:color="2C2C2C"/>
            </w:tcBorders>
            <w:gridSpan w:val="5"/>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0000FF"/>
              </w:rPr>
              <w:t>SEOUL,</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REPUBLIC OF M5</w:t>
            </w:r>
          </w:p>
        </w:tc>
        <w:tc>
          <w:tcPr>
            <w:tcW w:w="820" w:type="dxa"/>
            <w:vAlign w:val="bottom"/>
          </w:tcPr>
          <w:p>
            <w:pPr>
              <w:spacing w:after="0"/>
              <w:rPr>
                <w:sz w:val="21"/>
                <w:szCs w:val="21"/>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06168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75" w:lineRule="exact"/>
              <w:rPr>
                <w:sz w:val="20"/>
                <w:szCs w:val="20"/>
                <w:color w:val="auto"/>
              </w:rPr>
            </w:pPr>
            <w:r>
              <w:rPr>
                <w:rFonts w:ascii="Times New Roman" w:cs="Times New Roman" w:eastAsia="Times New Roman" w:hAnsi="Times New Roman"/>
                <w:sz w:val="17"/>
                <w:szCs w:val="17"/>
                <w:color w:val="0000FF"/>
              </w:rPr>
              <w:t>KOREA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8"/>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660" w:type="dxa"/>
            <w:vAlign w:val="bottom"/>
            <w:tcBorders>
              <w:bottom w:val="single" w:sz="8" w:color="9A9A9A"/>
            </w:tcBorders>
            <w:gridSpan w:val="2"/>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10"/>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4"/>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vMerge w:val="continue"/>
          </w:tcPr>
          <w:p>
            <w:pPr>
              <w:spacing w:after="0"/>
              <w:rPr>
                <w:sz w:val="11"/>
                <w:szCs w:val="11"/>
                <w:color w:val="auto"/>
              </w:rPr>
            </w:pPr>
          </w:p>
        </w:tc>
        <w:tc>
          <w:tcPr>
            <w:tcW w:w="4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4"/>
          </w:tcPr>
          <w:p>
            <w:pPr>
              <w:ind w:left="860"/>
              <w:spacing w:after="0"/>
              <w:rPr>
                <w:sz w:val="20"/>
                <w:szCs w:val="20"/>
                <w:color w:val="auto"/>
              </w:rPr>
            </w:pPr>
            <w:r>
              <w:rPr>
                <w:rFonts w:ascii="Times New Roman" w:cs="Times New Roman" w:eastAsia="Times New Roman" w:hAnsi="Times New Roman"/>
                <w:sz w:val="17"/>
                <w:szCs w:val="17"/>
                <w:color w:val="0000FF"/>
              </w:rPr>
              <w:t>02/16/2021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68,438</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jc w:val="center"/>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97"/>
              <w:spacing w:after="0"/>
              <w:rPr>
                <w:sz w:val="20"/>
                <w:szCs w:val="20"/>
                <w:color w:val="auto"/>
              </w:rPr>
            </w:pPr>
            <w:r>
              <w:rPr>
                <w:rFonts w:ascii="Times New Roman" w:cs="Times New Roman" w:eastAsia="Times New Roman" w:hAnsi="Times New Roman"/>
                <w:sz w:val="17"/>
                <w:szCs w:val="17"/>
                <w:color w:val="0000FF"/>
                <w:w w:val="97"/>
              </w:rPr>
              <w:t>293,623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4"/>
          </w:tcPr>
          <w:p>
            <w:pPr>
              <w:ind w:left="860"/>
              <w:spacing w:after="0"/>
              <w:rPr>
                <w:sz w:val="20"/>
                <w:szCs w:val="20"/>
                <w:color w:val="auto"/>
              </w:rPr>
            </w:pPr>
            <w:r>
              <w:rPr>
                <w:rFonts w:ascii="Times New Roman" w:cs="Times New Roman" w:eastAsia="Times New Roman" w:hAnsi="Times New Roman"/>
                <w:sz w:val="17"/>
                <w:szCs w:val="17"/>
                <w:color w:val="0000FF"/>
              </w:rPr>
              <w:t>02/16/2021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25,323</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19.86</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97"/>
              <w:spacing w:after="0"/>
              <w:rPr>
                <w:sz w:val="20"/>
                <w:szCs w:val="20"/>
                <w:color w:val="auto"/>
              </w:rPr>
            </w:pPr>
            <w:r>
              <w:rPr>
                <w:rFonts w:ascii="Times New Roman" w:cs="Times New Roman" w:eastAsia="Times New Roman" w:hAnsi="Times New Roman"/>
                <w:sz w:val="17"/>
                <w:szCs w:val="17"/>
                <w:color w:val="0000FF"/>
                <w:w w:val="97"/>
              </w:rPr>
              <w:t>268,300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vMerge w:val="continue"/>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-3098800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reflects shares of common stock issued in connection with the vesting of financial performance-based restricted stock units granted on June 2, 2020.</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1"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25,323 shares of common stock to satisfy tax withholding obligations incurred by the Reporting Person upon the vesting of 68,438 shares of common stock issued in connection with the vesting of financial performance-based restricted stock units granted on June 2, 2020.</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Director and Chief Executive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02/18/2021</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6117"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2021-02-18T15:24:25Z</dcterms:created>
  <dcterms:modified xsi:type="dcterms:W3CDTF">2021-02-18T15:24:25Z</dcterms:modified>
</cp:coreProperties>
</file>