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Yang Jinseok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73,909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3,167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70,742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of common stock issued in connection with the vesting of financial performance-based restricted stock units granted on June 1, 2024.</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3,167 shares of common stock to satisfy tax withholding obligations incurred by the Reporting Person upon the vesting of 7,000 shares of common stock originally awarded to the Reporting Person on June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Acting Co-General Manager of Mixed-Signal Solutions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3575"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2025-03-04T15:36:14Z</dcterms:created>
  <dcterms:modified xsi:type="dcterms:W3CDTF">2025-03-04T15:36:14Z</dcterms:modified>
</cp:coreProperties>
</file>