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(the “Proxy Statement”).</w:t>
      </w:r>
    </w:p>
    <w:p>
      <w:pPr>
        <w:spacing w:after="0" w:line="16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While the Company continues to believe that there should not be any approvals required for the Merger in the United States, it will cooperate with CFIUS by filing a joint voluntary notice with CFIUS under the Defense Production Act of 1950, as amended, and responding to any further questions from CFIUS regarding the Merger. As previously noted, the Company is a holding company. All manufacturing and research and development activities take place in South Korea, and substantially all sales activities take place in South Korea, with the remainder of sales operations located in China, Hong Kong, Taiwan, Japan and Germany. Substantially all of the employees are based in South Korea and employed by Magnachip Semiconductor, Ltd., the Korean operating company (“MSK”); and the remainder of the employees are located outside the United States. There are no tangible assets or IT systems located in the United States, and all intellectual property is owned by MSK or, to a very limited degree, other non-U.S. subsidiaries of the Company.</w:t>
      </w:r>
    </w:p>
    <w:p>
      <w:pPr>
        <w:spacing w:after="0" w:line="192"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Under the terms of the Merger Agreement, the parties’ receipt of the request from CFIUS to file a notice concerning the Merger results in the closing of the Merger now being conditioned on the receipt of CFIUS approval without the imposition of a burdensome condition as defined in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2021-05-29T01:20:44Z</dcterms:created>
  <dcterms:modified xsi:type="dcterms:W3CDTF">2021-05-29T01:20:44Z</dcterms:modified>
</cp:coreProperties>
</file>