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Chung Kyo-Hwa Liz</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60"/>
        <w:spacing w:after="0" w:line="395"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SEOUL</w:t>
            </w:r>
          </w:p>
        </w:tc>
        <w:tc>
          <w:tcPr>
            <w:tcW w:w="1140" w:type="dxa"/>
            <w:vAlign w:val="bottom"/>
          </w:tcPr>
          <w:p>
            <w:pPr>
              <w:ind w:left="320"/>
              <w:spacing w:after="0"/>
              <w:rPr>
                <w:sz w:val="20"/>
                <w:szCs w:val="20"/>
                <w:color w:val="auto"/>
              </w:rPr>
            </w:pPr>
            <w:r>
              <w:rPr>
                <w:rFonts w:ascii="Arial" w:cs="Arial" w:eastAsia="Arial" w:hAnsi="Arial"/>
                <w:sz w:val="17"/>
                <w:szCs w:val="17"/>
                <w:color w:val="0000FF"/>
              </w:rPr>
              <w:t>M5</w:t>
            </w:r>
          </w:p>
        </w:tc>
        <w:tc>
          <w:tcPr>
            <w:tcW w:w="1600" w:type="dxa"/>
            <w:vAlign w:val="bottom"/>
          </w:tcPr>
          <w:p>
            <w:pPr>
              <w:ind w:left="400"/>
              <w:spacing w:after="0"/>
              <w:rPr>
                <w:sz w:val="20"/>
                <w:szCs w:val="20"/>
                <w:color w:val="auto"/>
              </w:rPr>
            </w:pPr>
            <w:r>
              <w:rPr>
                <w:rFonts w:ascii="Arial" w:cs="Arial" w:eastAsia="Arial" w:hAnsi="Arial"/>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MAGNACHIP SEMICONDUCTOR Corp</w:t>
              </w:r>
            </w:hyperlink>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4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MX</w:t>
              </w:r>
              <w:r>
                <w:rPr>
                  <w:rFonts w:ascii="Arial" w:cs="Arial" w:eastAsia="Arial" w:hAnsi="Arial"/>
                  <w:sz w:val="3"/>
                  <w:szCs w:val="3"/>
                  <w:color w:val="auto"/>
                </w:rPr>
                <w:t xml:space="preserve"> ]</w:t>
              </w:r>
            </w:hyperlink>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72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5,531</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8.41</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38,244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the cash settlement of 5,531 shares of common stock underlying an RSU award granted to the Reporting Person on August 15, 2022 and reported at that time as common stock in Table I. 5,531 shares were cash settled at a price of $8.41 per share for an aggregate cash settlement of $46,515.71, which amount is approximately equal to (based on applicable foreign exchange rates), but does not exceed, the foreign tax obligation of the Reporting Person.</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08/17/2023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830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2023-08-17T15:30:03Z</dcterms:created>
  <dcterms:modified xsi:type="dcterms:W3CDTF">2023-08-17T15:30:03Z</dcterms:modified>
</cp:coreProperties>
</file>